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22,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 who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2.47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11 minutes of computing time.</w:t>
      </w:r>
      <w:r>
        <w:t xml:space="preserve"> </w:t>
      </w:r>
      <w:r>
        <w:t xml:space="preserve">Accordingly, 1,000 simulations would take around 7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user-guide-for-large-datasets"/>
    <w:p>
      <w:pPr>
        <w:pStyle w:val="Titre1"/>
      </w:pPr>
      <w:r>
        <w:t xml:space="preserve">User guide for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on a real case (Italian manufacturing firms in the province of Trento), Arbia et al. showedthat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 precited</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(easily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2026-06-22T16:24:02Z</dcterms:created>
  <dcterms:modified xsi:type="dcterms:W3CDTF">2026-06-22T16:24:02Z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