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November</w:t>
      </w:r>
      <w:r>
        <w:t xml:space="preserve"> </w:t>
      </w:r>
      <w:r>
        <w:t xml:space="preserve">05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journal,</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&amp; Puech (2017)</w:t>
      </w:r>
      <w:r>
        <w:t xml:space="preserve"> </w:t>
      </w:r>
      <w:r>
        <w:t xml:space="preserve">for a literature review on the advantages and limitations of a dozen existing distance-based measures).</w:t>
      </w:r>
      <w:r>
        <w:t xml:space="preserve"> </w:t>
      </w:r>
      <w:r>
        <w:t xml:space="preserve">Tidu et al.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2.6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8 milliseconds for estimating the</w:t>
      </w:r>
      <w:r>
        <w:t xml:space="preserve"> </w:t>
      </w:r>
      <w:r>
        <w:rPr>
          <w:iCs/>
          <w:i/>
        </w:rPr>
        <w:t xml:space="preserve">M</w:t>
      </w:r>
      <w:r>
        <w:t xml:space="preserve"> </w:t>
      </w:r>
      <w:r>
        <w:t xml:space="preserve">function from a set of 5,000 points or 10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Cases form aggregates of radius 0.1."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Cases form aggregates of radius 0.1."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Both Cases and Controls are drawn in a Poisson proces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
    <w:p>
      <w:pPr>
        <w:pStyle w:val="Titre1"/>
      </w:pPr>
      <w:r>
        <w:t xml:space="preserve">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71" w:name="acknowledgements"/>
    <w:p>
      <w:pPr>
        <w:pStyle w:val="Titre1"/>
      </w:pPr>
      <w:r>
        <w:t xml:space="preserve">Acknowledgements</w:t>
      </w:r>
    </w:p>
    <w:p>
      <w:pPr>
        <w:pStyle w:val="FirstParagraph"/>
      </w:pPr>
      <w:r>
        <w:t xml:space="preserve">Eric Marcon thanks XXX and Florence Puech gratefully acknowleges financial support from INRAE.</w:t>
      </w:r>
    </w:p>
    <w:bookmarkEnd w:id="71"/>
    <w:bookmarkStart w:id="102" w:name="references"/>
    <w:p>
      <w:pPr>
        <w:pStyle w:val="Titre1"/>
      </w:pPr>
      <w:r>
        <w:t xml:space="preserve">References</w:t>
      </w:r>
    </w:p>
    <w:bookmarkStart w:id="101" w:name="refs"/>
    <w:bookmarkStart w:id="72"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72"/>
    <w:bookmarkStart w:id="73" w:name="ref-Baddeley2016a"/>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3"/>
    <w:bookmarkStart w:id="74" w:name="ref-Cressie1993"/>
    <w:p>
      <w:pPr>
        <w:pStyle w:val="Bibliographie"/>
      </w:pPr>
      <w:r>
        <w:t xml:space="preserve">Cressie, N. A. (1993).</w:t>
      </w:r>
      <w:r>
        <w:t xml:space="preserve"> </w:t>
      </w:r>
      <w:r>
        <w:rPr>
          <w:iCs/>
          <w:i/>
        </w:rPr>
        <w:t xml:space="preserve">Statistics for spatial data</w:t>
      </w:r>
      <w:r>
        <w:t xml:space="preserve">. John Wiley &amp; Sons.</w:t>
      </w:r>
    </w:p>
    <w:bookmarkEnd w:id="74"/>
    <w:bookmarkStart w:id="76"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5">
        <w:r>
          <w:rPr>
            <w:rStyle w:val="Lienhypertexte"/>
          </w:rPr>
          <w:t xml:space="preserve">https://doi.org/10.1111/j.1467-9663.2008.00465.x</w:t>
        </w:r>
      </w:hyperlink>
    </w:p>
    <w:bookmarkEnd w:id="76"/>
    <w:bookmarkStart w:id="78"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7">
        <w:r>
          <w:rPr>
            <w:rStyle w:val="Lienhypertexte"/>
          </w:rPr>
          <w:t xml:space="preserve">https://doi.org/10.1016/j.stem.2021.03.014</w:t>
        </w:r>
      </w:hyperlink>
    </w:p>
    <w:bookmarkEnd w:id="78"/>
    <w:bookmarkStart w:id="80"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9">
        <w:r>
          <w:rPr>
            <w:rStyle w:val="Lienhypertexte"/>
          </w:rPr>
          <w:t xml:space="preserve">https://doi.org/10.1111/0034-6527.00362</w:t>
        </w:r>
      </w:hyperlink>
    </w:p>
    <w:bookmarkEnd w:id="80"/>
    <w:bookmarkStart w:id="82" w:name="ref-Kukuliac2017"/>
    <w:p>
      <w:pPr>
        <w:pStyle w:val="Bibliographie"/>
      </w:pPr>
      <w:r>
        <w:t xml:space="preserve">Kukuliač, P., &amp; Horák, J. (2017). W function: A 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 https://doi.org/</w:t>
      </w:r>
      <w:hyperlink r:id="rId81">
        <w:r>
          <w:rPr>
            <w:rStyle w:val="Lienhypertexte"/>
          </w:rPr>
          <w:t xml:space="preserve">https://doi.org/10.1111/gean.12120</w:t>
        </w:r>
      </w:hyperlink>
    </w:p>
    <w:bookmarkEnd w:id="82"/>
    <w:bookmarkStart w:id="84"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3">
        <w:r>
          <w:rPr>
            <w:rStyle w:val="Lienhypertexte"/>
          </w:rPr>
          <w:t xml:space="preserve">https://doi.org/10.1371/journal.pone.0021830</w:t>
        </w:r>
      </w:hyperlink>
    </w:p>
    <w:bookmarkEnd w:id="84"/>
    <w:bookmarkStart w:id="86"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5">
        <w:r>
          <w:rPr>
            <w:rStyle w:val="Lienhypertexte"/>
          </w:rPr>
          <w:t xml:space="preserve">https://doi.org/10.1093/jeg/lbg016</w:t>
        </w:r>
      </w:hyperlink>
    </w:p>
    <w:bookmarkEnd w:id="86"/>
    <w:bookmarkStart w:id="88"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7">
        <w:r>
          <w:rPr>
            <w:rStyle w:val="Lienhypertexte"/>
          </w:rPr>
          <w:t xml:space="preserve">https://doi.org/10.1093/jeg/lbp056</w:t>
        </w:r>
      </w:hyperlink>
    </w:p>
    <w:bookmarkEnd w:id="88"/>
    <w:bookmarkStart w:id="90"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89">
        <w:r>
          <w:rPr>
            <w:rStyle w:val="Lienhypertexte"/>
          </w:rPr>
          <w:t xml:space="preserve">https://doi.org/10.1016/j.regsciurbeco.2016.10.004</w:t>
        </w:r>
      </w:hyperlink>
    </w:p>
    <w:bookmarkEnd w:id="90"/>
    <w:bookmarkStart w:id="92"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w:t>
      </w:r>
      <w:r>
        <w:t xml:space="preserve"> </w:t>
      </w:r>
      <w:r>
        <w:rPr>
          <w:iCs/>
          <w:i/>
        </w:rPr>
        <w:t xml:space="preserve">67</w:t>
      </w:r>
      <w:r>
        <w:t xml:space="preserve">(3), 1–15.</w:t>
      </w:r>
      <w:r>
        <w:t xml:space="preserve"> </w:t>
      </w:r>
      <w:hyperlink r:id="rId91">
        <w:r>
          <w:rPr>
            <w:rStyle w:val="Lienhypertexte"/>
          </w:rPr>
          <w:t xml:space="preserve">https://doi.org/10.18637/jss.v067.c03</w:t>
        </w:r>
      </w:hyperlink>
    </w:p>
    <w:bookmarkEnd w:id="92"/>
    <w:bookmarkStart w:id="93"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3"/>
    <w:bookmarkStart w:id="94"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94"/>
    <w:bookmarkStart w:id="96"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95">
        <w:r>
          <w:rPr>
            <w:rStyle w:val="Lienhypertexte"/>
          </w:rPr>
          <w:t xml:space="preserve">https://doi.org/10.1007/s10109-015-0219-1</w:t>
        </w:r>
      </w:hyperlink>
    </w:p>
    <w:bookmarkEnd w:id="96"/>
    <w:bookmarkStart w:id="98"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97">
        <w:r>
          <w:rPr>
            <w:rStyle w:val="Lienhypertexte"/>
          </w:rPr>
          <w:t xml:space="preserve">https://doi.org/10.1111/j.1538-4632.1998.tb00388.x</w:t>
        </w:r>
      </w:hyperlink>
    </w:p>
    <w:bookmarkEnd w:id="98"/>
    <w:bookmarkStart w:id="100" w:name="ref-Tidu2023"/>
    <w:p>
      <w:pPr>
        <w:pStyle w:val="Bibliographie"/>
      </w:pPr>
      <w:r>
        <w:t xml:space="preserve">Tidu, A., Guy, F., &amp; Usai, S. (2024). 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99">
        <w:r>
          <w:rPr>
            <w:rStyle w:val="Lienhypertexte"/>
          </w:rPr>
          <w:t xml:space="preserve">https://doi.org/10.1111/gean.12381</w:t>
        </w:r>
      </w:hyperlink>
    </w:p>
    <w:bookmarkEnd w:id="100"/>
    <w:bookmarkEnd w:id="101"/>
    <w:bookmarkEnd w:id="102"/>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2024-11-05T14:13:55Z</dcterms:created>
  <dcterms:modified xsi:type="dcterms:W3CDTF">2024-11-05T14:13:55Z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can thus be estimated and discussed,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05 November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November 05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