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4.png" ContentType="image/png"/>
  <Override PartName="/word/media/rId36.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October</w:t>
      </w:r>
      <w:r>
        <w:t xml:space="preserve"> </w:t>
      </w:r>
      <w:r>
        <w:t xml:space="preserve">16,</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 H. Sweeney &amp; Feser, 1998; S. Sweeney &amp; Arabadjis, 2022)</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2025)</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rPr>
          <w:bCs/>
          <w:b/>
        </w:rPr>
        <w:t xml:space="preserve">In our paper, we propose to test the effectiveness of</w:t>
      </w:r>
      <w:r>
        <w:rPr>
          <w:bCs/>
          <w:b/>
        </w:rPr>
        <w:t xml:space="preserve"> </w:t>
      </w:r>
      <w:r>
        <w:rPr>
          <w:bCs/>
          <w:b/>
        </w:rPr>
        <w:t xml:space="preserve">Tidu et al. (2024)</w:t>
      </w:r>
      <w:r>
        <w:rPr>
          <w:bCs/>
          <w:b/>
        </w:rPr>
        <w:t xml:space="preserve">’s method and help the researchers to choose the appropriate method to characterise the spatial structure of quite large datasets.</w:t>
      </w:r>
      <w:r>
        <w:t xml:space="preserve"> </w:t>
      </w:r>
      <w:r>
        <w:t xml:space="preserve">First, we show the advantages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2025)</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0.99)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4.85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1.4).</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28 milliseconds for estimating the</w:t>
      </w:r>
      <w:r>
        <w:t xml:space="preserve"> </w:t>
      </w:r>
      <w:r>
        <w:rPr>
          <w:iCs/>
          <w:i/>
        </w:rPr>
        <w:t xml:space="preserve">M</w:t>
      </w:r>
      <w:r>
        <w:t xml:space="preserve"> function from a set of 5,000 points but 50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amounting to 8 bytes multiplied by the square of the number of points, i.e. 800 MB for 10,000 points only.</w:t>
      </w:r>
      <w:r>
        <w:t xml:space="preserve"> </w:t>
      </w:r>
      <w:r>
        <w:t xml:space="preserve">Since the calculation time is not reduced by this approach, its use should be reserved for non-Euclidean distances.</w:t>
      </w:r>
    </w:p>
    <w:bookmarkEnd w:id="48"/>
    <w:bookmarkEnd w:id="49"/>
    <w:bookmarkStart w:id="58"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p>
    <w:p>
      <w:pPr>
        <w:pStyle w:val="Corpsdetexte"/>
      </w:pPr>
      <w:r>
        <w:t xml:space="preserve">The first consequence is that no spatial structure in each cell can be detected because the information is lost.</w:t>
      </w:r>
      <w:r>
        <w:t xml:space="preserve"> </w:t>
      </w:r>
      <w:r>
        <w:t xml:space="preserve">Tidu et al. (2024)</w:t>
      </w:r>
      <w:r>
        <w:t xml:space="preserve"> </w:t>
      </w:r>
      <w:r>
        <w:t xml:space="preserve">gather on average 320 points in each 377 municipality of Sardinia: the price to pay is overlooking the very local structure of these points.</w:t>
      </w:r>
    </w:p>
    <w:p>
      <w:pPr>
        <w:pStyle w:val="Corpsdetexte"/>
      </w:pPr>
      <w:r>
        <w:t xml:space="preserve">We also suspect biases in the estimation of </w:t>
      </w:r>
      <w:r>
        <w:rPr>
          <w:iCs/>
          <w:i/>
        </w:rPr>
        <w:t xml:space="preserve">M</w:t>
      </w:r>
      <w:r>
        <w:t xml:space="preserve"> </w:t>
      </w:r>
      <w:r>
        <w:t xml:space="preserve">on a scale of the order of magnitude of the size of the cells, that should decrease with distance, when the relative size of the cells gets negligible.</w:t>
      </w:r>
      <w:r>
        <w:t xml:space="preserve"> </w:t>
      </w:r>
      <w:r>
        <w:t xml:space="preserve">The effect of the location approximation is tested on a set of aggregated points, similar to the real</w:t>
      </w:r>
      <w:r>
        <w:t xml:space="preserve"> </w:t>
      </w:r>
      <w:r>
        <w:t xml:space="preserve">Tidu et al. (2024)</w:t>
      </w:r>
      <w:r>
        <w:t xml:space="preserve"> </w:t>
      </w:r>
      <w:r>
        <w:t xml:space="preserve">data, and on a completely random point pattern.</w:t>
      </w:r>
      <w:r>
        <w:t xml:space="preserve"> </w:t>
      </w:r>
      <w:r>
        <w:t xml:space="preserve">Both are made of 100,000 points so that groups include 250 points on average.</w:t>
      </w:r>
    </w:p>
    <w:p>
      <w:pPr>
        <w:pStyle w:val="Corpsdetexte"/>
      </w:pPr>
      <w:r>
        <w:t xml:space="preserve">20 sets of completely random and as many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for CSR (a) and Matérn (b) point patterns." title="" id="51" name="Picture"/>
            <a:graphic>
              <a:graphicData uri="http://schemas.openxmlformats.org/drawingml/2006/picture">
                <pic:pic>
                  <pic:nvPicPr>
                    <pic:cNvPr descr="MLargeDataSets_files/figure-docx/Mapprox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Fig"/>
      <w:bookmarkEnd w:id="53"/>
      <w:r>
        <w:t xml:space="preserve">Figure 5: Average estimate of </w:t>
      </w:r>
      <w:r>
        <w:rPr>
          <w:iCs/>
          <w:i/>
        </w:rPr>
        <w:t xml:space="preserve">M</w:t>
      </w:r>
      <w:r>
        <w:t xml:space="preserve"> </w:t>
      </w:r>
      <w:r>
        <w:t xml:space="preserve">from the exact position of the points compared with the values obtained by grouping the points for CSR (a) and Matérn (b) point patterns.</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w:t>
      </w:r>
      <w:r>
        <w:t xml:space="preserve"> </w:t>
      </w:r>
      <w:r>
        <w:t xml:space="preserve">When the actual point pattern is not structured, some artefactual aggregation is generated at small scale.</w:t>
      </w:r>
      <w:r>
        <w:t xml:space="preserve"> </w:t>
      </w:r>
      <w:r>
        <w:t xml:space="preserve">In contrast, the local aggregation of the Matérn pattern is underestimated.</w:t>
      </w:r>
    </w:p>
    <w:p>
      <w:pPr>
        <w:pStyle w:val="Corpsdetexte"/>
      </w:pPr>
    </w:p>
    <w:p>
      <w:pPr>
        <w:pStyle w:val="CaptionedFigure"/>
      </w:pPr>
      <w:r>
        <w:drawing>
          <wp:inline>
            <wp:extent cx="4620126" cy="3696101"/>
            <wp:effectExtent b="0" l="0" r="0" t="0"/>
            <wp:docPr descr="Figure 6: p-values to reject the null hypothesis (H0) of independence of the point locations tested by the M function. The color of curves represents CSR or aggregated point patterns. Solid lines give the exact p-values of M, dotted lines the values estimated on grouped point patterns. The horizontal, dotted line corresponds to the significance threshold, i.e. 97.5%, to reject H0 in a 5% risk-level two-tailed test." title="" id="55" name="Picture"/>
            <a:graphic>
              <a:graphicData uri="http://schemas.openxmlformats.org/drawingml/2006/picture">
                <pic:pic>
                  <pic:nvPicPr>
                    <pic:cNvPr descr="MLargeDataSets_files/figure-docx/MCompareFig-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7" w:name="fig:MCompareFig"/>
      <w:bookmarkEnd w:id="57"/>
      <w:r>
        <w:t xml:space="preserve">Figure 6: p-values to reject the null hypothesis (H0) of independence of the point locations tested by the</w:t>
      </w:r>
      <w:r>
        <w:t xml:space="preserve"> </w:t>
      </w:r>
      <w:r>
        <w:rPr>
          <w:iCs/>
          <w:i/>
        </w:rPr>
        <w:t xml:space="preserve">M</w:t>
      </w:r>
      <w:r>
        <w:t xml:space="preserve"> </w:t>
      </w:r>
      <w:r>
        <w:t xml:space="preserve">function. The color of curves represents CSR or aggregated point patterns. Solid lines give the exact p-values of</w:t>
      </w:r>
      <w:r>
        <w:t xml:space="preserve"> </w:t>
      </w:r>
      <w:r>
        <w:rPr>
          <w:iCs/>
          <w:i/>
        </w:rPr>
        <w:t xml:space="preserve">M</w:t>
      </w:r>
      <w:r>
        <w:t xml:space="preserve">, dotted lines the values estimated on grouped point patterns. The horizontal, dotted line corresponds to the significance threshold, i.e. 97.5%, to reject H0 in a 5% risk-level two-tailed test.</w:t>
      </w:r>
    </w:p>
    <w:p>
      <w:pPr>
        <w:pStyle w:val="Corpsdetexte"/>
      </w:pPr>
    </w:p>
    <w:p>
      <w:pPr>
        <w:pStyle w:val="Corpsdetexte"/>
      </w:pPr>
      <w:r>
        <w:t xml:space="preserve">The</w:t>
      </w:r>
      <w:r>
        <w:t xml:space="preserve"> </w:t>
      </w:r>
      <w:r>
        <w:rPr>
          <w:iCs/>
          <w:i/>
        </w:rPr>
        <w:t xml:space="preserve">M</w:t>
      </w:r>
      <w:r>
        <w:t xml:space="preserve"> </w:t>
      </w:r>
      <w:r>
        <w:t xml:space="preserve">function is used basically as a test against the independence of point locations.</w:t>
      </w:r>
      <w:r>
        <w:t xml:space="preserve"> </w:t>
      </w:r>
      <w:r>
        <w:t xml:space="preserve">To assess the impact of grouping the points on the result the test, figure </w:t>
      </w:r>
      <w:r>
        <w:t xml:space="preserve">6</w:t>
      </w:r>
      <w:r>
        <w:t xml:space="preserve"> </w:t>
      </w:r>
      <w:r>
        <w:t xml:space="preserve">shows its average p-value, computed among 20 simulations of each point pattern.</w:t>
      </w:r>
      <w:r>
        <w:t xml:space="preserve"> </w:t>
      </w:r>
      <w:r>
        <w:t xml:space="preserve">At each distance, the value of </w:t>
      </w:r>
      <w:r>
        <w:rPr>
          <w:iCs/>
          <w:i/>
        </w:rPr>
        <w:t xml:space="preserve">M</w:t>
      </w:r>
      <w:r>
        <w:t xml:space="preserve"> </w:t>
      </w:r>
      <w:r>
        <w:t xml:space="preserve">is compared to that obtained with point patterns simulated according to the null hypothesis, that is rejected if the actual value is out of the 95% central quantiles of the simulations.</w:t>
      </w:r>
    </w:p>
    <w:p>
      <w:pPr>
        <w:pStyle w:val="Corpsdetexte"/>
      </w:pPr>
      <w:r>
        <w:t xml:space="preserve">Tidu et al. (2024)</w:t>
      </w:r>
      <w:r>
        <w:t xml:space="preserve"> </w:t>
      </w:r>
      <w:r>
        <w:t xml:space="preserve">rather tested the effect of grouping the points by the correlation between exact and approximated</w:t>
      </w:r>
      <w:r>
        <w:t xml:space="preserve"> </w:t>
      </w:r>
      <w:r>
        <w:rPr>
          <w:iCs/>
          <w:i/>
        </w:rPr>
        <w:t xml:space="preserve">M</w:t>
      </w:r>
      <w:r>
        <w:t xml:space="preserve"> </w:t>
      </w:r>
      <w:r>
        <w:t xml:space="preserve">values.</w:t>
      </w:r>
      <w:r>
        <w:t xml:space="preserve"> </w:t>
      </w:r>
      <w:r>
        <w:t xml:space="preserve">We did not follow them because the main source of variation of the grouped-point</w:t>
      </w:r>
      <w:r>
        <w:t xml:space="preserve"> </w:t>
      </w:r>
      <w:r>
        <w:rPr>
          <w:iCs/>
          <w:i/>
        </w:rPr>
        <w:t xml:space="preserve">M</w:t>
      </w:r>
      <w:r>
        <w:t xml:space="preserve"> </w:t>
      </w:r>
      <w:r>
        <w:t xml:space="preserve">values is that of the grouping itself: when the number of points per group is small, groups vary a lot between simulations, and the correlation is weak, whilst it increases with the size of the data (an illustration is given in the appendix).</w:t>
      </w:r>
      <w:r>
        <w:t xml:space="preserve"> </w:t>
      </w:r>
      <w:r>
        <w:t xml:space="preserve">Since a very high correlation does not exclude systematic errors, it is not an appropriate statistic here.</w:t>
      </w:r>
    </w:p>
    <w:p>
      <w:pPr>
        <w:pStyle w:val="Corpsdetexte"/>
      </w:pPr>
      <w:r>
        <w:t xml:space="preserve">In the case of CSR, the p-value to reject independence is without surprise around 50%, whatever the distance, whether the points are grouped or not.</w:t>
      </w:r>
      <w:r>
        <w:t xml:space="preserve"> </w:t>
      </w:r>
      <w:r>
        <w:t xml:space="preserve">In the case of aggregated patterns, the null hypothesis is rejected correctly when the points are grouped.</w:t>
      </w:r>
      <w:r>
        <w:t xml:space="preserve"> </w:t>
      </w:r>
      <w:r>
        <w:t xml:space="preserve">At small scale, below the size of the cells,</w:t>
      </w:r>
      <w:r>
        <w:t xml:space="preserve"> </w:t>
      </w:r>
      <w:r>
        <w:rPr>
          <w:iCs/>
          <w:i/>
        </w:rPr>
        <w:t xml:space="preserve">M</w:t>
      </w:r>
      <w:r>
        <w:t xml:space="preserve"> </w:t>
      </w:r>
      <w:r>
        <w:t xml:space="preserve">values are actually that of the size of the cells: the test is correct because the point process we used is aggregated at all scales.</w:t>
      </w:r>
      <w:r>
        <w:t xml:space="preserve"> </w:t>
      </w:r>
      <w:r>
        <w:t xml:space="preserve">The point pattern may have been repulsive at small scale, but this information was destroyed by grouping the points: neither</w:t>
      </w:r>
      <w:r>
        <w:t xml:space="preserve"> </w:t>
      </w:r>
      <w:r>
        <w:rPr>
          <w:iCs/>
          <w:i/>
        </w:rPr>
        <w:t xml:space="preserve">M</w:t>
      </w:r>
      <w:r>
        <w:t xml:space="preserve"> </w:t>
      </w:r>
      <w:r>
        <w:t xml:space="preserve">values nor their p-values are reliable below the size of the cells.</w:t>
      </w:r>
    </w:p>
    <w:p>
      <w:pPr>
        <w:pStyle w:val="Corpsdetexte"/>
      </w:pPr>
      <w:r>
        <w:rPr>
          <w:bCs/>
          <w:b/>
        </w:rPr>
        <w:t xml:space="preserve">If short-distance interactions are suspected, such as information externalities or contagion phenomena, very careful use of location approximation is recommended. The approximation may not be acceptable depending on the grid size chosen, since all information below this size is lost. Above it, the M function if not affected by the approximation.</w:t>
      </w:r>
    </w:p>
    <w:bookmarkEnd w:id="58"/>
    <w:bookmarkStart w:id="60"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5 seconds for a set of 100,000 points on a modern computer</w:t>
      </w:r>
      <w:r>
        <w:rPr>
          <w:rStyle w:val="Appelnotedebasdep"/>
        </w:rPr>
        <w:footnoteReference w:id="59"/>
      </w:r>
      <w:r>
        <w:t xml:space="preserve"> </w:t>
      </w:r>
      <w:r>
        <w:t xml:space="preserve">and requires 25 MB of RAM.</w:t>
      </w:r>
      <w:r>
        <w:t xml:space="preserve"> </w:t>
      </w:r>
      <w:r>
        <w:t xml:space="preserve">Calculating a confidence interval from 1,000 simulations therefore takes less than 83 minutes.</w:t>
      </w:r>
      <w:r>
        <w:t xml:space="preserve"> </w:t>
      </w:r>
      <w:r>
        <w:t xml:space="preserve">For a set of five million points, the power law predicts around 16 minutes of computing time.</w:t>
      </w:r>
      <w:r>
        <w:t xml:space="preserve"> </w:t>
      </w:r>
      <w:r>
        <w:t xml:space="preserve">1,000 simulations would then take around 11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The issue of the spatial approximation comes from the loss of information about possible interactions at distances smaller than the size of the grid.</w:t>
      </w:r>
      <w:r>
        <w:t xml:space="preserve"> </w:t>
      </w:r>
      <w:r>
        <w:t xml:space="preserve">This situation should be analysed very attentively.</w:t>
      </w:r>
      <w:r>
        <w:t xml:space="preserve"> </w:t>
      </w:r>
      <w:r>
        <w:t xml:space="preserve">Our analysis was motivated to discuss</w:t>
      </w:r>
      <w:r>
        <w:t xml:space="preserve"> </w:t>
      </w:r>
      <w:r>
        <w:t xml:space="preserve">Tidu et al. (2024)</w:t>
      </w:r>
      <w:r>
        <w:t xml:space="preserve">'s results but a prior study of</w:t>
      </w:r>
      <w:r>
        <w:t xml:space="preserve"> </w:t>
      </w:r>
      <w:r>
        <w:t xml:space="preserve">Arbia et al. (2017)</w:t>
      </w:r>
      <w:r>
        <w:t xml:space="preserve"> </w:t>
      </w:r>
      <w:r>
        <w:t xml:space="preserve">also investigated the subject of applying distance-based methods to spatial datasets that include positional errors.</w:t>
      </w:r>
      <w:r>
        <w:t xml:space="preserve"> </w:t>
      </w:r>
      <w:r>
        <w:t xml:space="preserve">They proposed a first evaluation of the consequences of an</w:t>
      </w:r>
      <w:r>
        <w:t xml:space="preserve"> </w:t>
      </w:r>
      <w:r>
        <w:rPr>
          <w:iCs/>
          <w:i/>
        </w:rPr>
        <w:t xml:space="preserve">‘</w:t>
      </w:r>
      <w:r>
        <w:rPr>
          <w:iCs/>
          <w:i/>
        </w:rPr>
        <w:t xml:space="preserve">unintentional positional error</w:t>
      </w:r>
      <w:r>
        <w:rPr>
          <w:iCs/>
          <w:i/>
        </w:rPr>
        <w:t xml:space="preserve">’</w:t>
      </w:r>
      <w:r>
        <w:t xml:space="preserve"> </w:t>
      </w:r>
      <w:r>
        <w:t xml:space="preserve">due to the uncertainty of the location of a part of the studied entities, e.g. when their address is not accurate.</w:t>
      </w:r>
      <w:r>
        <w:t xml:space="preserve"> </w:t>
      </w:r>
      <w:r>
        <w:t xml:space="preserve">In that situation, these uncertain geo-localised entities are placed at the centroid of the zone considered, exactly as in</w:t>
      </w:r>
      <w:r>
        <w:t xml:space="preserve"> </w:t>
      </w:r>
      <w:r>
        <w:t xml:space="preserve">Tidu et al. (2024)</w:t>
      </w:r>
      <w:r>
        <w:t xml:space="preserve">.</w:t>
      </w:r>
      <w:r>
        <w:t xml:space="preserve"> </w:t>
      </w:r>
      <w:r>
        <w:t xml:space="preserve">Arbia et al. showed on a real case (Italian manufacturing firms) that the error measurement was less severe than expected.</w:t>
      </w:r>
      <w:r>
        <w:t xml:space="preserve"> </w:t>
      </w:r>
      <w:r>
        <w:t xml:space="preserve">Their explanation rests on the definition</w:t>
      </w:r>
      <w:r>
        <w:t xml:space="preserve"> </w:t>
      </w:r>
      <w:r>
        <w:rPr>
          <w:iCs/>
          <w:i/>
        </w:rPr>
        <w:t xml:space="preserve">M</w:t>
      </w:r>
      <w:r>
        <w:t xml:space="preserve">, a relative measure: a compensation effect of positional errors is suspected between the local ratio and the global one.</w:t>
      </w:r>
    </w:p>
    <w:p>
      <w:pPr>
        <w:pStyle w:val="Corpsdetexte"/>
      </w:pPr>
      <w:r>
        <w:t xml:space="preserve">To conclude,</w:t>
      </w:r>
      <w:r>
        <w:t xml:space="preserve"> </w:t>
      </w:r>
      <w:r>
        <w:rPr>
          <w:bCs/>
          <w:b/>
        </w:rPr>
        <w:t xml:space="preserve">an approximation of the spatial locations may be considered to save computation time, given the strong agreement observed between the values of</w:t>
      </w:r>
      <w:r>
        <w:rPr>
          <w:bCs/>
          <w:b/>
        </w:rPr>
        <w:t xml:space="preserve"> </w:t>
      </w:r>
      <w:r>
        <w:rPr>
          <w:iCs/>
          <w:i/>
          <w:bCs/>
          <w:b/>
        </w:rPr>
        <w:t xml:space="preserve">M</w:t>
      </w:r>
      <w:r>
        <w:rPr>
          <w:bCs/>
          <w:b/>
        </w:rPr>
        <w:t xml:space="preserve"> </w:t>
      </w:r>
      <w:r>
        <w:rPr>
          <w:bCs/>
          <w:b/>
        </w:rPr>
        <w:t xml:space="preserve">on exact and approximated data above the size of the grid, but the information about interactions at smaller scales is lost</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0"/>
    <w:bookmarkStart w:id="62" w:name="appendix"/>
    <w:p>
      <w:pPr>
        <w:pStyle w:val="Titre1"/>
      </w:pPr>
      <w:r>
        <w:t xml:space="preserve">Appendix</w:t>
      </w:r>
    </w:p>
    <w:p>
      <w:pPr>
        <w:pStyle w:val="FirstParagraph"/>
      </w:pPr>
      <w:r>
        <w:t xml:space="preserve">R code is available at the following address:</w:t>
      </w:r>
      <w:r>
        <w:t xml:space="preserve"> </w:t>
      </w:r>
      <w:hyperlink r:id="rId61">
        <w:r>
          <w:rPr>
            <w:rStyle w:val="Lienhypertexte"/>
          </w:rPr>
          <w:t xml:space="preserve">https://ericmarcon.github.io/MLargeDataSets/Appendix.pdf</w:t>
        </w:r>
      </w:hyperlink>
    </w:p>
    <w:bookmarkEnd w:id="62"/>
    <w:bookmarkStart w:id="63"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3"/>
    <w:bookmarkStart w:id="115" w:name="references"/>
    <w:p>
      <w:pPr>
        <w:pStyle w:val="Titre1"/>
      </w:pPr>
      <w:r>
        <w:t xml:space="preserve">References</w:t>
      </w:r>
    </w:p>
    <w:bookmarkStart w:id="114" w:name="refs"/>
    <w:bookmarkStart w:id="64"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4"/>
    <w:bookmarkStart w:id="65" w:name="ref-Arbia2021"/>
    <w:p>
      <w:pPr>
        <w:pStyle w:val="Bibliographie"/>
      </w:pPr>
      <w:r>
        <w:t xml:space="preserve">Arbia, G., Espa, G., &amp; Giuliani, D. (2021).</w:t>
      </w:r>
      <w:r>
        <w:t xml:space="preserve"> </w:t>
      </w:r>
      <w:r>
        <w:rPr>
          <w:iCs/>
          <w:i/>
        </w:rPr>
        <w:t xml:space="preserve">Spatial microeconometrics</w:t>
      </w:r>
      <w:r>
        <w:t xml:space="preserve">. Routledge, Taylor &amp; Francis Group.</w:t>
      </w:r>
    </w:p>
    <w:bookmarkEnd w:id="65"/>
    <w:bookmarkStart w:id="67"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6">
        <w:r>
          <w:rPr>
            <w:rStyle w:val="Lienhypertexte"/>
          </w:rPr>
          <w:t xml:space="preserve">https://doi.org/10.1080/17421772.2017.1297479</w:t>
        </w:r>
      </w:hyperlink>
    </w:p>
    <w:bookmarkEnd w:id="67"/>
    <w:bookmarkStart w:id="68"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68"/>
    <w:bookmarkStart w:id="70"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69">
        <w:r>
          <w:rPr>
            <w:rStyle w:val="Lienhypertexte"/>
          </w:rPr>
          <w:t xml:space="preserve">https://doi.org/10.1111/joes.12267</w:t>
        </w:r>
      </w:hyperlink>
    </w:p>
    <w:bookmarkEnd w:id="70"/>
    <w:bookmarkStart w:id="72"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1">
        <w:r>
          <w:rPr>
            <w:rStyle w:val="Lienhypertexte"/>
          </w:rPr>
          <w:t xml:space="preserve">https://doi.org/10.1111/pirs.12330</w:t>
        </w:r>
      </w:hyperlink>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0">
        <w:r>
          <w:rPr>
            <w:rStyle w:val="Lienhypertexte"/>
          </w:rPr>
          <w:t xml:space="preserve">https://doi.org/10.1109/tip.2005.852466</w:t>
        </w:r>
      </w:hyperlink>
    </w:p>
    <w:bookmarkEnd w:id="81"/>
    <w:bookmarkStart w:id="83"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2">
        <w:r>
          <w:rPr>
            <w:rStyle w:val="Lienhypertexte"/>
          </w:rPr>
          <w:t xml:space="preserve">https://doi.org/10.1007/s00168-009-0342-3</w:t>
        </w:r>
      </w:hyperlink>
    </w:p>
    <w:bookmarkEnd w:id="83"/>
    <w:bookmarkStart w:id="85"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4">
        <w:r>
          <w:rPr>
            <w:rStyle w:val="Lienhypertexte"/>
          </w:rPr>
          <w:t xml:space="preserve">https://doi.org/10.1371/journal.pone.0021830</w:t>
        </w:r>
      </w:hyperlink>
    </w:p>
    <w:bookmarkEnd w:id="85"/>
    <w:bookmarkStart w:id="87"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6">
        <w:r>
          <w:rPr>
            <w:rStyle w:val="Lienhypertexte"/>
          </w:rPr>
          <w:t xml:space="preserve">https://doi.org/10.1093/jeg/lbg016</w:t>
        </w:r>
      </w:hyperlink>
    </w:p>
    <w:bookmarkEnd w:id="87"/>
    <w:bookmarkStart w:id="89"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8">
        <w:r>
          <w:rPr>
            <w:rStyle w:val="Lienhypertexte"/>
          </w:rPr>
          <w:t xml:space="preserve">https://doi.org/10.1093/jeg/lbp056</w:t>
        </w:r>
      </w:hyperlink>
    </w:p>
    <w:bookmarkEnd w:id="89"/>
    <w:bookmarkStart w:id="91"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0">
        <w:r>
          <w:rPr>
            <w:rStyle w:val="Lienhypertexte"/>
          </w:rPr>
          <w:t xml:space="preserve">https://doi.org/10.1016/j.regsciurbeco.2016.10.004</w:t>
        </w:r>
      </w:hyperlink>
    </w:p>
    <w:bookmarkEnd w:id="91"/>
    <w:bookmarkStart w:id="93"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2">
        <w:r>
          <w:rPr>
            <w:rStyle w:val="Lienhypertexte"/>
          </w:rPr>
          <w:t xml:space="preserve">https://doi.org/10.1155/2012/619281</w:t>
        </w:r>
      </w:hyperlink>
    </w:p>
    <w:bookmarkEnd w:id="93"/>
    <w:bookmarkStart w:id="95"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4">
        <w:r>
          <w:rPr>
            <w:rStyle w:val="Lienhypertexte"/>
          </w:rPr>
          <w:t xml:space="preserve">https://doi.org/10.18637/jss.v067.c03</w:t>
        </w:r>
      </w:hyperlink>
    </w:p>
    <w:bookmarkEnd w:id="95"/>
    <w:bookmarkStart w:id="96"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6"/>
    <w:bookmarkStart w:id="97" w:name="ref-Moller2004"/>
    <w:p>
      <w:pPr>
        <w:pStyle w:val="Bibliographie"/>
      </w:pPr>
      <w:r>
        <w:t xml:space="preserve">Møller, J., &amp; Waagepetersen, R. P. (2004).</w:t>
      </w:r>
      <w:r>
        <w:t xml:space="preserve"> </w:t>
      </w:r>
      <w:r>
        <w:rPr>
          <w:iCs/>
          <w:i/>
        </w:rPr>
        <w:t xml:space="preserve">Statistical inference and simulation for spatial point processes</w:t>
      </w:r>
      <w:r>
        <w:t xml:space="preserve"> </w:t>
      </w:r>
      <w:r>
        <w:t xml:space="preserve">(Vol. 100).</w:t>
      </w:r>
      <w:r>
        <w:t xml:space="preserve"> </w:t>
      </w:r>
      <w:r>
        <w:t xml:space="preserve">Chapman and Hall</w:t>
      </w:r>
      <w:r>
        <w:t xml:space="preserve">.</w:t>
      </w:r>
    </w:p>
    <w:bookmarkEnd w:id="97"/>
    <w:bookmarkStart w:id="99" w:name="ref-Nissi2013"/>
    <w:p>
      <w:pPr>
        <w:pStyle w:val="Bibliographie"/>
      </w:pPr>
      <w:r>
        <w:t xml:space="preserve">Nissi, E., Sarra, A., Palermi, S., &amp; Luca, G. (2013). The application of</w:t>
      </w:r>
      <w:r>
        <w:t xml:space="preserve"> </w:t>
      </w:r>
      <w:r>
        <w:t xml:space="preserve">M</w:t>
      </w:r>
      <w:r>
        <w:t xml:space="preserve">-function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98">
        <w:r>
          <w:rPr>
            <w:rStyle w:val="Lienhypertexte"/>
          </w:rPr>
          <w:t xml:space="preserve">https://doi.org/10.1007/978-3-642-28894-4_32</w:t>
        </w:r>
      </w:hyperlink>
    </w:p>
    <w:bookmarkEnd w:id="99"/>
    <w:bookmarkStart w:id="100"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0"/>
    <w:bookmarkStart w:id="101" w:name="ref-R"/>
    <w:p>
      <w:pPr>
        <w:pStyle w:val="Bibliographie"/>
      </w:pPr>
      <w:r>
        <w:t xml:space="preserve">R Core Team. (2025).</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1"/>
    <w:bookmarkStart w:id="103"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2">
        <w:r>
          <w:rPr>
            <w:rStyle w:val="Lienhypertexte"/>
          </w:rPr>
          <w:t xml:space="preserve">https://www.jstor.org/stable/2242958</w:t>
        </w:r>
      </w:hyperlink>
    </w:p>
    <w:bookmarkEnd w:id="103"/>
    <w:bookmarkStart w:id="105"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4">
        <w:r>
          <w:rPr>
            <w:rStyle w:val="Lienhypertexte"/>
          </w:rPr>
          <w:t xml:space="preserve">https://doi.org/10.1111/j.2517-6161.1977.tb01615.x</w:t>
        </w:r>
      </w:hyperlink>
    </w:p>
    <w:bookmarkEnd w:id="105"/>
    <w:bookmarkStart w:id="107"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6">
        <w:r>
          <w:rPr>
            <w:rStyle w:val="Lienhypertexte"/>
          </w:rPr>
          <w:t xml:space="preserve">https://doi.org/10.1007/s10109-015-0219-1</w:t>
        </w:r>
      </w:hyperlink>
    </w:p>
    <w:bookmarkEnd w:id="107"/>
    <w:bookmarkStart w:id="109"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08">
        <w:r>
          <w:rPr>
            <w:rStyle w:val="Lienhypertexte"/>
          </w:rPr>
          <w:t xml:space="preserve">https://doi.org/10.1111/j.1538-4632.1998.tb00388.x</w:t>
        </w:r>
      </w:hyperlink>
    </w:p>
    <w:bookmarkEnd w:id="109"/>
    <w:bookmarkStart w:id="111" w:name="ref-Sweeney2022"/>
    <w:p>
      <w:pPr>
        <w:pStyle w:val="Bibliographie"/>
      </w:pPr>
      <w:r>
        <w:t xml:space="preserve">Sweeney, S., &amp; Arabadjis, S. (2022). Spatial point patterns. In S. J. Rey &amp; R. Franklin (Eds.),</w:t>
      </w:r>
      <w:r>
        <w:t xml:space="preserve"> </w:t>
      </w:r>
      <w:r>
        <w:rPr>
          <w:iCs/>
          <w:i/>
        </w:rPr>
        <w:t xml:space="preserve">Handbook of</w:t>
      </w:r>
      <w:r>
        <w:rPr>
          <w:iCs/>
          <w:i/>
        </w:rPr>
        <w:t xml:space="preserve"> </w:t>
      </w:r>
      <w:r>
        <w:rPr>
          <w:iCs/>
          <w:i/>
        </w:rPr>
        <w:t xml:space="preserve">Spatial Analysis</w:t>
      </w:r>
      <w:r>
        <w:rPr>
          <w:iCs/>
          <w:i/>
        </w:rPr>
        <w:t xml:space="preserve"> </w:t>
      </w:r>
      <w:r>
        <w:rPr>
          <w:iCs/>
          <w:i/>
        </w:rPr>
        <w:t xml:space="preserve">in the</w:t>
      </w:r>
      <w:r>
        <w:rPr>
          <w:iCs/>
          <w:i/>
        </w:rPr>
        <w:t xml:space="preserve"> </w:t>
      </w:r>
      <w:r>
        <w:rPr>
          <w:iCs/>
          <w:i/>
        </w:rPr>
        <w:t xml:space="preserve">Social Sciences</w:t>
      </w:r>
      <w:r>
        <w:t xml:space="preserve"> </w:t>
      </w:r>
      <w:r>
        <w:t xml:space="preserve">(pp. 262–276). Edward Elgar Publishing.</w:t>
      </w:r>
      <w:r>
        <w:t xml:space="preserve"> </w:t>
      </w:r>
      <w:hyperlink r:id="rId110">
        <w:r>
          <w:rPr>
            <w:rStyle w:val="Lienhypertexte"/>
          </w:rPr>
          <w:t xml:space="preserve">https://doi.org/10.4337/9781789903942.00023</w:t>
        </w:r>
      </w:hyperlink>
    </w:p>
    <w:bookmarkEnd w:id="111"/>
    <w:bookmarkStart w:id="113"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2">
        <w:r>
          <w:rPr>
            <w:rStyle w:val="Lienhypertexte"/>
          </w:rPr>
          <w:t xml:space="preserve">https://doi.org/10.1111/gean.12381</w:t>
        </w:r>
      </w:hyperlink>
    </w:p>
    <w:bookmarkEnd w:id="113"/>
    <w:bookmarkEnd w:id="114"/>
    <w:bookmarkEnd w:id="115"/>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9">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66" Target="https://doi.org/10.1080/17421772.2017.1297479"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104" Target="https://doi.org/10.1111/j.2517-6161.1977.tb01615.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110" Target="https://doi.org/10.4337/9781789903942.00023" TargetMode="External" /><Relationship Type="http://schemas.openxmlformats.org/officeDocument/2006/relationships/hyperlink" Id="rId61" Target="https://ericmarcon.github.io/MLargeDataSets/Appendix.pdf" TargetMode="External" /><Relationship Type="http://schemas.openxmlformats.org/officeDocument/2006/relationships/hyperlink" Id="rId102" Target="https://www.jstor.org/stable/2242958"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66" Target="https://doi.org/10.1080/17421772.2017.1297479"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104" Target="https://doi.org/10.1111/j.2517-6161.1977.tb01615.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110" Target="https://doi.org/10.4337/9781789903942.00023" TargetMode="External" /><Relationship Type="http://schemas.openxmlformats.org/officeDocument/2006/relationships/hyperlink" Id="rId61" Target="https://ericmarcon.github.io/MLargeDataSets/Appendix.pdf" TargetMode="External" /><Relationship Type="http://schemas.openxmlformats.org/officeDocument/2006/relationships/hyperlink" Id="rId102" Target="https://www.jstor.org/stable/22429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2025-10-16T21:25:58Z</dcterms:created>
  <dcterms:modified xsi:type="dcterms:W3CDTF">2025-10-16T21:25:58Z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October 16,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October 16,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