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56.png" ContentType="image/png"/>
  <Override PartName="/word/media/rId26.png" ContentType="image/png"/>
  <Override PartName="/word/media/rId33.png" ContentType="image/png"/>
  <Override PartName="/word/media/rId61.png" ContentType="image/png"/>
  <Override PartName="/word/media/rId52.png" ContentType="image/png"/>
  <Override PartName="/word/media/rId46.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On</w:t>
      </w:r>
      <w:r>
        <w:t xml:space="preserve"> </w:t>
      </w:r>
      <w:r>
        <w:t xml:space="preserve">the</w:t>
      </w:r>
      <w:r>
        <w:t xml:space="preserve"> </w:t>
      </w:r>
      <w:r>
        <w:t xml:space="preserve">Computation</w:t>
      </w:r>
      <w:r>
        <w:t xml:space="preserve"> </w:t>
      </w:r>
      <w:r>
        <w:t xml:space="preserve">of</w:t>
      </w:r>
      <w:r>
        <w:t xml:space="preserve"> </w:t>
      </w:r>
      <w:r>
        <w:t xml:space="preserve">Large</w:t>
      </w:r>
      <w:r>
        <w:t xml:space="preserve"> </w:t>
      </w:r>
      <w:r>
        <w:t xml:space="preserve">Spatial</w:t>
      </w:r>
      <w:r>
        <w:t xml:space="preserve"> </w:t>
      </w:r>
      <w:r>
        <w:t xml:space="preserve">Datasets</w:t>
      </w:r>
      <w:r>
        <w:t xml:space="preserve"> </w:t>
      </w:r>
      <w:r>
        <w:t xml:space="preserve">With M</w:t>
      </w:r>
    </w:p>
    <w:p>
      <w:pPr>
        <w:pStyle w:val="Date"/>
      </w:pPr>
      <w:r>
        <w:t xml:space="preserve">2024</w:t>
      </w:r>
      <w:r>
        <w:t xml:space="preserve"> </w:t>
      </w:r>
      <w:r>
        <w:t xml:space="preserve">October</w:t>
      </w:r>
      <w:r>
        <w:t xml:space="preserve"> </w:t>
      </w:r>
      <w:r>
        <w:t xml:space="preserve">29</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and</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Rubak, and Turner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(Sweeney and Feser 1998; Deurloo and De Vos 2008; Kukuliač and Horák 2017)</w:t>
      </w:r>
      <w:r>
        <w:t xml:space="preserve">, economics</w:t>
      </w:r>
      <w:r>
        <w:t xml:space="preserve"> </w:t>
      </w:r>
      <w:r>
        <w:t xml:space="preserve">(Arbia 1989; Marcon and Puech 2003)</w:t>
      </w:r>
      <w:r>
        <w:t xml:space="preserve">, ecology</w:t>
      </w:r>
      <w:r>
        <w:t xml:space="preserve"> </w:t>
      </w:r>
      <w:r>
        <w:t xml:space="preserve">(Cressie 1993; Lentz, Blackburn, and Curtis 2011)</w:t>
      </w:r>
      <w:r>
        <w:t xml:space="preserve">, biology</w:t>
      </w:r>
      <w:r>
        <w:t xml:space="preserve"> </w:t>
      </w:r>
      <w:r>
        <w:t xml:space="preserve">(Dray et al. 2021)</w:t>
      </w:r>
      <w:r>
        <w:t xml:space="preserve">, and so on.</w:t>
      </w:r>
      <w:r>
        <w:t xml:space="preserve"> </w:t>
      </w:r>
      <w:r>
        <w:t xml:space="preserve">In a recent article,</w:t>
      </w:r>
      <w:r>
        <w:t xml:space="preserve"> </w:t>
      </w:r>
      <w:r>
        <w:t xml:space="preserve">Tidu, Guy, and Usai (2024)</w:t>
      </w:r>
      <w:r>
        <w:t xml:space="preserve"> </w:t>
      </w:r>
      <w:r>
        <w:t xml:space="preserve">highlights the interest of a particular statistical measure, the</w:t>
      </w:r>
      <w:r>
        <w:t xml:space="preserve"> </w:t>
      </w:r>
      <w:r>
        <w:rPr>
          <w:iCs/>
          <w:i/>
        </w:rPr>
        <w:t xml:space="preserve">M</w:t>
      </w:r>
      <w:r>
        <w:t xml:space="preserve"> </w:t>
      </w:r>
      <w:r>
        <w:t xml:space="preserve">function proposed by</w:t>
      </w:r>
      <w:r>
        <w:t xml:space="preserve"> </w:t>
      </w:r>
      <w:r>
        <w:t xml:space="preserve">Marcon and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and Puech (2017)</w:t>
      </w:r>
      <w:r>
        <w:t xml:space="preserve"> </w:t>
      </w:r>
      <w:r>
        <w:t xml:space="preserve">for a literature review on the advantages and limitations of a dozen existing distance-based measures).</w:t>
      </w:r>
      <w:r>
        <w:t xml:space="preserve"> </w:t>
      </w:r>
      <w:r>
        <w:t xml:space="preserve">Tidu, Guy, and Usai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and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and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and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Guy, and Usai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plan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Guy, and Usai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The majority of points are</w:t>
      </w:r>
      <w:r>
        <w:t xml:space="preserve"> </w:t>
      </w:r>
      <w:r>
        <w:t xml:space="preserve">‘</w:t>
      </w:r>
      <w:r>
        <w:t xml:space="preserve">Controls</w:t>
      </w:r>
      <w:r>
        <w:t xml:space="preserve">’</w:t>
      </w:r>
      <w:r>
        <w:t xml:space="preserve"> </w:t>
      </w:r>
      <w:r>
        <w:t xml:space="preserve">and a proportion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the attraction or dispersion of points which could generate spatial concentrations of points (aggregates) or, on the contrary, spatial regularities (dispersions).</w:t>
      </w:r>
    </w:p>
    <w:p>
      <w:pPr>
        <w:pStyle w:val="Corpsdetexte"/>
      </w:pP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An east mesh of the space previously considered is obtained, which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 in a cell is easily detected (single-colour blue dot), as is the strong presence of Ca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 in a cell is easily detected (single-colour blue dot), as is the strong presence of Cas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p>
    <w:p>
      <w:pPr>
        <w:pStyle w:val="Corpsdetexte"/>
      </w:pP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and Overman 2005)</w:t>
      </w:r>
      <w:r>
        <w:t xml:space="preserve"> </w:t>
      </w:r>
      <w:r>
        <w:t xml:space="preserve">under the null hypothesis of random point location.</w:t>
      </w:r>
      <w:r>
        <w:t xml:space="preserve"> </w:t>
      </w:r>
      <w:r>
        <w:t xml:space="preserve">The result is shown in figure</w:t>
      </w:r>
      <w:r>
        <w:t xml:space="preserv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p>
    <w:p>
      <w:pPr>
        <w:pStyle w:val="Corpsdetexte"/>
      </w:pP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1"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5"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p>
    <w:p>
      <w:pPr>
        <w:pStyle w:val="Corpsdetexte"/>
      </w:pP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0.94)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2.79seconds)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(1.36).</w:t>
      </w:r>
    </w:p>
    <w:p>
      <w:pPr>
        <w:pStyle w:val="Corpsdetexte"/>
      </w:pPr>
      <w:r>
        <w:t xml:space="preserve">Using a distance matrix may seem an efficient way of saving computation time, but in reality calculating distances is extremely fast and the whole process from a matrix is ultimately more time-consuming (Table</w:t>
      </w:r>
      <w:r>
        <w:t xml:space="preserve"> </w:t>
      </w:r>
      <w:r>
        <w:t xml:space="preserve">1</w:t>
      </w:r>
      <w:r>
        <w:t xml:space="preserve">).</w:t>
      </w:r>
    </w:p>
    <w:p>
      <w:pPr>
        <w:pStyle w:val="Corpsdetexte"/>
      </w:pPr>
    </w:p>
    <w:p>
      <w:pPr>
        <w:pStyle w:val="Corpsdetexte"/>
      </w:pPr>
      <w:bookmarkStart w:id="44" w:name="tab:MmbTab"/>
      <w:bookmarkEnd w:id="44"/>
      <w:r>
        <w:t xml:space="preserve">Table 1: Median execution time, in milliseconds, for estimating the</w:t>
      </w:r>
      <w:r>
        <w:t xml:space="preserve"> </w:t>
      </w:r>
      <w:r>
        <w:rPr>
          <w:iCs/>
          <w:i/>
        </w:rPr>
        <w:t xml:space="preserve">M</w:t>
      </w:r>
      <w:r>
        <w:t xml:space="preserve"> </w:t>
      </w:r>
      <w:r>
        <w:t xml:space="preserve">function from a set of 5000 points or the corresponding distance matrix.</w:t>
      </w:r>
    </w:p>
    <w:p>
      <w:pPr>
        <w:pStyle w:val="Corpsdetexte"/>
      </w:pPr>
      <w:r>
        <w:t xml:space="preserve">Method</w:t>
      </w:r>
    </w:p>
    <w:p>
      <w:pPr>
        <w:pStyle w:val="Corpsdetexte"/>
      </w:pPr>
      <w:r>
        <w:t xml:space="preserve">Time</w:t>
      </w:r>
    </w:p>
    <w:p>
      <w:pPr>
        <w:pStyle w:val="Corpsdetexte"/>
      </w:pPr>
      <w:r>
        <w:t xml:space="preserve">Point Pattern</w:t>
      </w:r>
    </w:p>
    <w:p>
      <w:pPr>
        <w:pStyle w:val="Corpsdetexte"/>
      </w:pPr>
      <w:r>
        <w:t xml:space="preserve">10</w:t>
      </w:r>
    </w:p>
    <w:p>
      <w:pPr>
        <w:pStyle w:val="Corpsdetexte"/>
      </w:pPr>
      <w:r>
        <w:t xml:space="preserve">Distance Matrix</w:t>
      </w:r>
    </w:p>
    <w:p>
      <w:pPr>
        <w:pStyle w:val="Corpsdetexte"/>
      </w:pPr>
      <w:r>
        <w:t xml:space="preserve">16</w:t>
      </w:r>
    </w:p>
    <w:p>
      <w:pPr>
        <w:pStyle w:val="Corpsdetexte"/>
      </w:pPr>
    </w:p>
    <w:bookmarkEnd w:id="45"/>
    <w:bookmarkStart w:id="50"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7" name="Picture"/>
            <a:graphic>
              <a:graphicData uri="http://schemas.openxmlformats.org/drawingml/2006/picture">
                <pic:pic>
                  <pic:nvPicPr>
                    <pic:cNvPr descr="MLargeDataSets_files/figure-docx/TestMemFig-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9" w:name="fig:TestMemFig"/>
      <w:bookmarkEnd w:id="49"/>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Guy, and Usai (2024)</w:t>
      </w:r>
      <w:r>
        <w:t xml:space="preserve">’s conclusion about the power and computation time required when using</w:t>
      </w:r>
      <w:r>
        <w:t xml:space="preserve"> </w:t>
      </w:r>
      <w:r>
        <w:rPr>
          <w:iCs/>
          <w:i/>
        </w:rPr>
        <w:t xml:space="preserve">M</w:t>
      </w:r>
      <w:r>
        <w:t xml:space="preserve"> </w:t>
      </w:r>
      <w:r>
        <w:t xml:space="preserve">on large datasets into perspective.</w:t>
      </w:r>
    </w:p>
    <w:p>
      <w:pPr>
        <w:pStyle w:val="Corpsdetexte"/>
      </w:pP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50"/>
    <w:bookmarkEnd w:id="51"/>
    <w:bookmarkStart w:id="70"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p>
    <w:p>
      <w:pPr>
        <w:pStyle w:val="Corpsdetexte"/>
      </w:pPr>
      <w:r>
        <w:t xml:space="preserve">The effect of the location approximation is first tested on a set of aggregated points, similar to the real</w:t>
      </w:r>
      <w:r>
        <w:t xml:space="preserve"> </w:t>
      </w:r>
      <w:r>
        <w:t xml:space="preserve">Tidu, Guy, and Usai (2024)</w:t>
      </w:r>
      <w:r>
        <w:t xml:space="preserve"> </w:t>
      </w:r>
      <w:r>
        <w:t xml:space="preserve">data.</w:t>
      </w:r>
      <w:r>
        <w:t xml:space="preserve"> </w:t>
      </w:r>
      <w:r>
        <w:t xml:space="preserve">Secondly, the case of an unstructured set of points is considered.</w:t>
      </w:r>
    </w:p>
    <w:bookmarkStart w:id="60"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Cases form aggregates of radius 0.1." title="" id="53" name="Picture"/>
            <a:graphic>
              <a:graphicData uri="http://schemas.openxmlformats.org/drawingml/2006/picture">
                <pic:pic>
                  <pic:nvPicPr>
                    <pic:cNvPr descr="MLargeDataSets_files/figure-docx/MapproxMaternFig-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5" w:name="fig:MapproxMaternFig"/>
      <w:bookmarkEnd w:id="55"/>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p>
    <w:p>
      <w:pPr>
        <w:pStyle w:val="Corpsdetexte"/>
      </w:pP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Cases form aggregates of radius 0.1." title="" id="57" name="Picture"/>
            <a:graphic>
              <a:graphicData uri="http://schemas.openxmlformats.org/drawingml/2006/picture">
                <pic:pic>
                  <pic:nvPicPr>
                    <pic:cNvPr descr="MLargeDataSets_files/figure-docx/CorMatern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CorMaternFig"/>
      <w:bookmarkEnd w:id="59"/>
      <w:r>
        <w:t xml:space="preserve">Figure 7: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r>
        <w:t xml:space="preserve"> </w:t>
      </w:r>
      <w:r>
        <w:t xml:space="preserve">grid scale.</w:t>
      </w:r>
    </w:p>
    <w:bookmarkEnd w:id="60"/>
    <w:bookmarkStart w:id="6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Both Cases and Controls are drawn in a Poisson process." title="" id="62" name="Picture"/>
            <a:graphic>
              <a:graphicData uri="http://schemas.openxmlformats.org/drawingml/2006/picture">
                <pic:pic>
                  <pic:nvPicPr>
                    <pic:cNvPr descr="MLargeDataSets_files/figure-docx/MapproxCSRFig-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MapproxCSRFig"/>
      <w:bookmarkEnd w:id="64"/>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6" name="Picture"/>
            <a:graphic>
              <a:graphicData uri="http://schemas.openxmlformats.org/drawingml/2006/picture">
                <pic:pic>
                  <pic:nvPicPr>
                    <pic:cNvPr descr="MLargeDataSets_files/figure-docx/CorCSRFig-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CorCSRFig"/>
      <w:bookmarkEnd w:id="68"/>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9"/>
    <w:bookmarkEnd w:id="70"/>
    <w:bookmarkStart w:id="71" w:name="conclusion"/>
    <w:p>
      <w:pPr>
        <w:pStyle w:val="Titre1"/>
      </w:pPr>
      <w:r>
        <w:t xml:space="preserve">Conclusion</w:t>
      </w:r>
    </w:p>
    <w:p>
      <w:pPr>
        <w:pStyle w:val="FirstParagraph"/>
      </w:pPr>
      <w:r>
        <w:t xml:space="preserve">To summarise, and based on the cases proposed in this article, it seems that approximation on location can be considered to save computation time, given the strong correlation observed between the values of</w:t>
      </w:r>
      <w:r>
        <w:t xml:space="preserve"> </w:t>
      </w:r>
      <w:r>
        <w:rPr>
          <w:iCs/>
          <w:i/>
        </w:rPr>
        <w:t xml:space="preserve">M</w:t>
      </w:r>
      <w:r>
        <w:t xml:space="preserve"> </w:t>
      </w:r>
      <w:r>
        <w:t xml:space="preserve">on exact and approximated data, but keeping a very fine mesh.</w:t>
      </w:r>
      <w:r>
        <w:t xml:space="preserve"> </w:t>
      </w:r>
      <w:r>
        <w:t xml:space="preserve">Our result is therefore in line with</w:t>
      </w:r>
      <w:r>
        <w:t xml:space="preserve"> </w:t>
      </w:r>
      <w:r>
        <w:t xml:space="preserve">Tidu, Guy, and Usai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On the other hand, if the aim of the study is to look at spatial structures at very small distances, then approximating geographical positions is not desirable because it is for these distances that the discrepancies between the</w:t>
      </w:r>
      <w:r>
        <w:t xml:space="preserve"> </w:t>
      </w:r>
      <w:r>
        <w:rPr>
          <w:iCs/>
          <w:i/>
        </w:rPr>
        <w:t xml:space="preserve">M</w:t>
      </w:r>
      <w:r>
        <w:t xml:space="preserve"> </w:t>
      </w:r>
      <w:r>
        <w:t xml:space="preserve">results are greatest.</w:t>
      </w:r>
    </w:p>
    <w:p>
      <w:pPr>
        <w:pStyle w:val="Corpsdetexte"/>
      </w:pPr>
      <w:r>
        <w:t xml:space="preserve">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p>
    <w:p>
      <w:pPr>
        <w:pStyle w:val="Corpsdetexte"/>
      </w:pPr>
      <w:r>
        <w:t xml:space="preserve">For a set of five million points, the expected calculation time is</w:t>
      </w:r>
      <w:r>
        <w:t xml:space="preserve"> </w:t>
      </w:r>
      <m:oMath>
        <m:r>
          <m:t>6</m:t>
        </m:r>
        <m:r>
          <m:rPr>
            <m:sty m:val="p"/>
          </m:rPr>
          <m:t>×</m:t>
        </m:r>
        <m:sSup>
          <m:e>
            <m:r>
              <m:t>50</m:t>
            </m:r>
          </m:e>
          <m:sup>
            <m:r>
              <m:t>1.8</m:t>
            </m:r>
          </m:sup>
        </m:sSup>
        <m:r>
          <m:rPr>
            <m:sty m:val="p"/>
          </m:rPr>
          <m:t>=</m:t>
        </m:r>
        <m:r>
          <m:t>6860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p>
    <w:p>
      <w:pPr>
        <w:pStyle w:val="Corpsdetexte"/>
      </w:pP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p>
    <w:p>
      <w:pPr>
        <w:pStyle w:val="Corpsdetexte"/>
      </w:pP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t xml:space="preserve">Depending on the issues addressed, this limitation may or may not be acceptable: the overall description of the spatial structure is not significantly degraded, but the study of externalities, which is particularly interesting at short distances, is very limited.</w:t>
      </w:r>
    </w:p>
    <w:bookmarkEnd w:id="71"/>
    <w:bookmarkStart w:id="102" w:name="references"/>
    <w:p>
      <w:pPr>
        <w:pStyle w:val="Titre1"/>
      </w:pPr>
      <w:r>
        <w:t xml:space="preserve">References</w:t>
      </w:r>
    </w:p>
    <w:bookmarkStart w:id="101" w:name="refs"/>
    <w:bookmarkStart w:id="72"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72"/>
    <w:bookmarkStart w:id="73" w:name="ref-Baddeley2016a"/>
    <w:p>
      <w:pPr>
        <w:pStyle w:val="Bibliographie"/>
      </w:pPr>
      <w:r>
        <w:t xml:space="preserve">Baddeley, Adrian, Ege Rubak, and Rolf Turner. 2016.</w:t>
      </w:r>
      <w:r>
        <w:t xml:space="preserve"> </w:t>
      </w:r>
      <w:r>
        <w:rPr>
          <w:iCs/>
          <w:i/>
        </w:rPr>
        <w:t xml:space="preserve">Spatial Point Patterns: Methodology and Applications with</w:t>
      </w:r>
      <w:r>
        <w:rPr>
          <w:iCs/>
          <w:i/>
        </w:rPr>
        <w:t xml:space="preserve"> </w:t>
      </w:r>
      <w:r>
        <w:rPr>
          <w:iCs/>
          <w:i/>
        </w:rPr>
        <w:t xml:space="preserve">R</w:t>
      </w:r>
      <w:r>
        <w:t xml:space="preserve">. Chapman &amp;</w:t>
      </w:r>
      <w:r>
        <w:t xml:space="preserve"> </w:t>
      </w:r>
      <w:r>
        <w:t xml:space="preserve">Hall</w:t>
      </w:r>
      <w:r>
        <w:t xml:space="preserve">/</w:t>
      </w:r>
      <w:r>
        <w:t xml:space="preserve">CRC</w:t>
      </w:r>
      <w:r>
        <w:t xml:space="preserve"> </w:t>
      </w:r>
      <w:r>
        <w:t xml:space="preserve">Interdisciplinary Statistics Series. Boca Raton London New York: CRC Press.</w:t>
      </w:r>
    </w:p>
    <w:bookmarkEnd w:id="73"/>
    <w:bookmarkStart w:id="74" w:name="ref-Cressie1993"/>
    <w:p>
      <w:pPr>
        <w:pStyle w:val="Bibliographie"/>
      </w:pPr>
      <w:r>
        <w:t xml:space="preserve">Cressie, Noel A. 1993.</w:t>
      </w:r>
      <w:r>
        <w:t xml:space="preserve"> </w:t>
      </w:r>
      <w:r>
        <w:rPr>
          <w:iCs/>
          <w:i/>
        </w:rPr>
        <w:t xml:space="preserve">Statistics for Spatial Data</w:t>
      </w:r>
      <w:r>
        <w:t xml:space="preserve">. New York: John Wiley &amp; Sons.</w:t>
      </w:r>
    </w:p>
    <w:bookmarkEnd w:id="74"/>
    <w:bookmarkStart w:id="76" w:name="ref-Deurloo2008"/>
    <w:p>
      <w:pPr>
        <w:pStyle w:val="Bibliographie"/>
      </w:pPr>
      <w:r>
        <w:t xml:space="preserve">Deurloo, Marinus C., and Sjoerd De Vos. 2008.</w:t>
      </w:r>
      <w:r>
        <w:t xml:space="preserve"> </w:t>
      </w:r>
      <w:r>
        <w:t xml:space="preserve">“Measuring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 </w:t>
      </w:r>
      <w:r>
        <w:t xml:space="preserve">99 (3): 329–47.</w:t>
      </w:r>
      <w:r>
        <w:t xml:space="preserve"> </w:t>
      </w:r>
      <w:hyperlink r:id="rId75">
        <w:r>
          <w:rPr>
            <w:rStyle w:val="Lienhypertexte"/>
          </w:rPr>
          <w:t xml:space="preserve">https://doi.org/10.1111/j.1467-9663.2008.00465.x</w:t>
        </w:r>
      </w:hyperlink>
      <w:r>
        <w:t xml:space="preserve">.</w:t>
      </w:r>
    </w:p>
    <w:bookmarkEnd w:id="76"/>
    <w:bookmarkStart w:id="78" w:name="ref-Dray2021"/>
    <w:p>
      <w:pPr>
        <w:pStyle w:val="Bibliographie"/>
      </w:pPr>
      <w:r>
        <w:t xml:space="preserve">Dray, Nicolas, Laure Mancini, Udi Binshtok, Felix Cheysson, Willy Supatto, Pierre Mahou, Sébastien Bedu, et al. 2021.</w:t>
      </w:r>
      <w:r>
        <w:t xml:space="preserve"> </w:t>
      </w:r>
      <w:r>
        <w:t xml:space="preserve">“Dynamic Spatiotemporal Coordination of Neural Stem Cell Fate Decisions Occurs Through Local Feedback in the Adult Vertebrate Brain.”</w:t>
      </w:r>
      <w:r>
        <w:t xml:space="preserve"> </w:t>
      </w:r>
      <w:r>
        <w:rPr>
          <w:iCs/>
          <w:i/>
        </w:rPr>
        <w:t xml:space="preserve">Cell Stem Cell</w:t>
      </w:r>
      <w:r>
        <w:t xml:space="preserve"> </w:t>
      </w:r>
      <w:r>
        <w:t xml:space="preserve">28 (8): 1457–1472.e12.</w:t>
      </w:r>
      <w:r>
        <w:t xml:space="preserve"> </w:t>
      </w:r>
      <w:hyperlink r:id="rId77">
        <w:r>
          <w:rPr>
            <w:rStyle w:val="Lienhypertexte"/>
          </w:rPr>
          <w:t xml:space="preserve">https://doi.org/10.1016/j.stem.2021.03.014</w:t>
        </w:r>
      </w:hyperlink>
      <w:r>
        <w:t xml:space="preserve">.</w:t>
      </w:r>
    </w:p>
    <w:bookmarkEnd w:id="78"/>
    <w:bookmarkStart w:id="80" w:name="ref-Duranton2005"/>
    <w:p>
      <w:pPr>
        <w:pStyle w:val="Bibliographie"/>
      </w:pPr>
      <w:r>
        <w:t xml:space="preserve">Duranton, Gilles, and Henry G Overman. 2005.</w:t>
      </w:r>
      <w:r>
        <w:t xml:space="preserve"> </w:t>
      </w:r>
      <w:r>
        <w:t xml:space="preserve">“Testing for Localisation Using Micro-Geographic Data.”</w:t>
      </w:r>
      <w:r>
        <w:t xml:space="preserve"> </w:t>
      </w:r>
      <w:r>
        <w:rPr>
          <w:iCs/>
          <w:i/>
        </w:rPr>
        <w:t xml:space="preserve">Review of Economic Studies</w:t>
      </w:r>
      <w:r>
        <w:t xml:space="preserve"> </w:t>
      </w:r>
      <w:r>
        <w:t xml:space="preserve">72 (4): 1077–1106.</w:t>
      </w:r>
      <w:r>
        <w:t xml:space="preserve"> </w:t>
      </w:r>
      <w:hyperlink r:id="rId79">
        <w:r>
          <w:rPr>
            <w:rStyle w:val="Lienhypertexte"/>
          </w:rPr>
          <w:t xml:space="preserve">https://doi.org/10.1111/0034-6527.00362</w:t>
        </w:r>
      </w:hyperlink>
      <w:r>
        <w:t xml:space="preserve">.</w:t>
      </w:r>
    </w:p>
    <w:bookmarkEnd w:id="80"/>
    <w:bookmarkStart w:id="82" w:name="ref-Kukuliac2017"/>
    <w:p>
      <w:pPr>
        <w:pStyle w:val="Bibliographie"/>
      </w:pPr>
      <w:r>
        <w:t xml:space="preserve">Kukuliač, Pavel, and Jiří Horák. 2017.</w:t>
      </w:r>
      <w:r>
        <w:t xml:space="preserve"> </w:t>
      </w:r>
      <w:r>
        <w:t xml:space="preserve">“W Function: A New Distance-Based Measure of Spatial Distribution of Economic Activities.”</w:t>
      </w:r>
      <w:r>
        <w:t xml:space="preserve"> </w:t>
      </w:r>
      <w:r>
        <w:rPr>
          <w:iCs/>
          <w:i/>
        </w:rPr>
        <w:t xml:space="preserve">Geographical Analysis</w:t>
      </w:r>
      <w:r>
        <w:t xml:space="preserve"> </w:t>
      </w:r>
      <w:r>
        <w:t xml:space="preserve">49 (2): 199–214. https://doi.org/</w:t>
      </w:r>
      <w:hyperlink r:id="rId81">
        <w:r>
          <w:rPr>
            <w:rStyle w:val="Lienhypertexte"/>
          </w:rPr>
          <w:t xml:space="preserve">https://doi.org/10.1111/gean.12120</w:t>
        </w:r>
      </w:hyperlink>
      <w:r>
        <w:t xml:space="preserve">.</w:t>
      </w:r>
    </w:p>
    <w:bookmarkEnd w:id="82"/>
    <w:bookmarkStart w:id="84" w:name="ref-Lentz2011"/>
    <w:p>
      <w:pPr>
        <w:pStyle w:val="Bibliographie"/>
      </w:pPr>
      <w:r>
        <w:t xml:space="preserve">Lentz, Jennifer A., Jason K. Blackburn, and Andrew J. Curtis. 2011.</w:t>
      </w:r>
      <w:r>
        <w:t xml:space="preserve"> </w:t>
      </w:r>
      <w:r>
        <w:t xml:space="preserve">“Evaluating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t xml:space="preserve">Edited by Christian R. Voolstra.</w:t>
      </w:r>
      <w:r>
        <w:t xml:space="preserve"> </w:t>
      </w:r>
      <w:r>
        <w:rPr>
          <w:iCs/>
          <w:i/>
        </w:rPr>
        <w:t xml:space="preserve">PLoS ONE</w:t>
      </w:r>
      <w:r>
        <w:t xml:space="preserve"> </w:t>
      </w:r>
      <w:r>
        <w:t xml:space="preserve">6 (7): e21830.</w:t>
      </w:r>
      <w:r>
        <w:t xml:space="preserve"> </w:t>
      </w:r>
      <w:hyperlink r:id="rId83">
        <w:r>
          <w:rPr>
            <w:rStyle w:val="Lienhypertexte"/>
          </w:rPr>
          <w:t xml:space="preserve">https://doi.org/10.1371/journal.pone.0021830</w:t>
        </w:r>
      </w:hyperlink>
      <w:r>
        <w:t xml:space="preserve">.</w:t>
      </w:r>
    </w:p>
    <w:bookmarkEnd w:id="84"/>
    <w:bookmarkStart w:id="86" w:name="ref-Marcon2003a"/>
    <w:p>
      <w:pPr>
        <w:pStyle w:val="Bibliographie"/>
      </w:pPr>
      <w:r>
        <w:t xml:space="preserve">Marcon, Eric, and Florence Puech. 2003.</w:t>
      </w:r>
      <w:r>
        <w:t xml:space="preserve"> </w:t>
      </w:r>
      <w:r>
        <w:t xml:space="preserve">“Evaluating the Geographic Concentration of Industries Using Distance-Based Methods.”</w:t>
      </w:r>
      <w:r>
        <w:t xml:space="preserve"> </w:t>
      </w:r>
      <w:r>
        <w:rPr>
          <w:iCs/>
          <w:i/>
        </w:rPr>
        <w:t xml:space="preserve">Journal of Economic Geography</w:t>
      </w:r>
      <w:r>
        <w:t xml:space="preserve"> </w:t>
      </w:r>
      <w:r>
        <w:t xml:space="preserve">3 (4): 409–28.</w:t>
      </w:r>
      <w:r>
        <w:t xml:space="preserve"> </w:t>
      </w:r>
      <w:hyperlink r:id="rId85">
        <w:r>
          <w:rPr>
            <w:rStyle w:val="Lienhypertexte"/>
          </w:rPr>
          <w:t xml:space="preserve">https://doi.org/10.1093/jeg/lbg016</w:t>
        </w:r>
      </w:hyperlink>
      <w:r>
        <w:t xml:space="preserve">.</w:t>
      </w:r>
    </w:p>
    <w:bookmarkEnd w:id="86"/>
    <w:bookmarkStart w:id="88" w:name="ref-Marcon2010"/>
    <w:p>
      <w:pPr>
        <w:pStyle w:val="Bibliographie"/>
      </w:pPr>
      <w:r>
        <w:t xml:space="preserve">———. 2010.</w:t>
      </w:r>
      <w:r>
        <w:t xml:space="preserve"> </w:t>
      </w:r>
      <w:r>
        <w:t xml:space="preserve">“Measures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 </w:t>
      </w:r>
      <w:r>
        <w:t xml:space="preserve">10 (5): 745–62.</w:t>
      </w:r>
      <w:r>
        <w:t xml:space="preserve"> </w:t>
      </w:r>
      <w:hyperlink r:id="rId87">
        <w:r>
          <w:rPr>
            <w:rStyle w:val="Lienhypertexte"/>
          </w:rPr>
          <w:t xml:space="preserve">https://doi.org/10.1093/jeg/lbp056</w:t>
        </w:r>
      </w:hyperlink>
      <w:r>
        <w:t xml:space="preserve">.</w:t>
      </w:r>
    </w:p>
    <w:bookmarkEnd w:id="88"/>
    <w:bookmarkStart w:id="90" w:name="ref-Marcon2012c"/>
    <w:p>
      <w:pPr>
        <w:pStyle w:val="Bibliographie"/>
      </w:pPr>
      <w:r>
        <w:t xml:space="preserve">———.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r>
        <w:t xml:space="preserve"> </w:t>
      </w:r>
      <w:hyperlink r:id="rId89">
        <w:r>
          <w:rPr>
            <w:rStyle w:val="Lienhypertexte"/>
          </w:rPr>
          <w:t xml:space="preserve">https://doi.org/10.1016/j.regsciurbeco.2016.10.004</w:t>
        </w:r>
      </w:hyperlink>
      <w:r>
        <w:t xml:space="preserve">.</w:t>
      </w:r>
    </w:p>
    <w:bookmarkEnd w:id="90"/>
    <w:bookmarkStart w:id="92" w:name="ref-Marcon2014"/>
    <w:p>
      <w:pPr>
        <w:pStyle w:val="Bibliographie"/>
      </w:pPr>
      <w:r>
        <w:t xml:space="preserve">Marcon, Eric, Stéphane Traissac, Florence Puech, and Gabriel Lang. 2015.</w:t>
      </w:r>
      <w:r>
        <w:t xml:space="preserve"> </w:t>
      </w:r>
      <w:r>
        <w:t xml:space="preserve">“Tools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 </w:t>
      </w:r>
      <w:r>
        <w:t xml:space="preserve">67 (3): 1–15.</w:t>
      </w:r>
      <w:r>
        <w:t xml:space="preserve"> </w:t>
      </w:r>
      <w:hyperlink r:id="rId91">
        <w:r>
          <w:rPr>
            <w:rStyle w:val="Lienhypertexte"/>
          </w:rPr>
          <w:t xml:space="preserve">https://doi.org/10.18637/jss.v067.c03</w:t>
        </w:r>
      </w:hyperlink>
      <w:r>
        <w:t xml:space="preserve">.</w:t>
      </w:r>
    </w:p>
    <w:bookmarkEnd w:id="92"/>
    <w:bookmarkStart w:id="93" w:name="ref-Matern1960"/>
    <w:p>
      <w:pPr>
        <w:pStyle w:val="Bibliographie"/>
      </w:pPr>
      <w:r>
        <w:t xml:space="preserve">Matérn, Bertil. 1960.</w:t>
      </w:r>
      <w:r>
        <w:t xml:space="preserve"> </w:t>
      </w:r>
      <w:r>
        <w:t xml:space="preserve">“Spatial Variation.”</w:t>
      </w:r>
      <w:r>
        <w:t xml:space="preserve"> </w:t>
      </w:r>
      <w:r>
        <w:rPr>
          <w:iCs/>
          <w:i/>
        </w:rPr>
        <w:t xml:space="preserve">Meddelanden Fr</w:t>
      </w:r>
      <w:r>
        <w:rPr>
          <w:iCs/>
          <w:i/>
        </w:rPr>
        <w:t xml:space="preserve">å</w:t>
      </w:r>
      <w:r>
        <w:rPr>
          <w:iCs/>
          <w:i/>
        </w:rPr>
        <w:t xml:space="preserve">n Statens Skogsforskningsinstitut</w:t>
      </w:r>
      <w:r>
        <w:t xml:space="preserve"> </w:t>
      </w:r>
      <w:r>
        <w:t xml:space="preserve">49 (5): 1–144.</w:t>
      </w:r>
    </w:p>
    <w:bookmarkEnd w:id="93"/>
    <w:bookmarkStart w:id="94"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94"/>
    <w:bookmarkStart w:id="96" w:name="ref-Scholl2013"/>
    <w:p>
      <w:pPr>
        <w:pStyle w:val="Bibliographie"/>
      </w:pPr>
      <w:r>
        <w:t xml:space="preserve">Scholl, Tobias, and Thomas Brenner. 2015.</w:t>
      </w:r>
      <w:r>
        <w:t xml:space="preserve"> </w:t>
      </w:r>
      <w:r>
        <w:t xml:space="preserve">“Optimizing Distance-Based Methods for Large Data Sets.”</w:t>
      </w:r>
      <w:r>
        <w:t xml:space="preserve"> </w:t>
      </w:r>
      <w:r>
        <w:rPr>
          <w:iCs/>
          <w:i/>
        </w:rPr>
        <w:t xml:space="preserve">Journal of Geographical Systems</w:t>
      </w:r>
      <w:r>
        <w:t xml:space="preserve"> </w:t>
      </w:r>
      <w:r>
        <w:t xml:space="preserve">17 (4): 333–51.</w:t>
      </w:r>
      <w:r>
        <w:t xml:space="preserve"> </w:t>
      </w:r>
      <w:hyperlink r:id="rId95">
        <w:r>
          <w:rPr>
            <w:rStyle w:val="Lienhypertexte"/>
          </w:rPr>
          <w:t xml:space="preserve">https://doi.org/10.1007/s10109-015-0219-1</w:t>
        </w:r>
      </w:hyperlink>
      <w:r>
        <w:t xml:space="preserve">.</w:t>
      </w:r>
    </w:p>
    <w:bookmarkEnd w:id="96"/>
    <w:bookmarkStart w:id="98" w:name="ref-Sweeney1998"/>
    <w:p>
      <w:pPr>
        <w:pStyle w:val="Bibliographie"/>
      </w:pPr>
      <w:r>
        <w:t xml:space="preserve">Sweeney, Stuart H., and Edward J. Feser. 1998.</w:t>
      </w:r>
      <w:r>
        <w:t xml:space="preserve"> </w:t>
      </w:r>
      <w:r>
        <w:t xml:space="preserve">“Plant Size and Clustering of Manufacturing Activity.”</w:t>
      </w:r>
      <w:r>
        <w:t xml:space="preserve"> </w:t>
      </w:r>
      <w:r>
        <w:rPr>
          <w:iCs/>
          <w:i/>
        </w:rPr>
        <w:t xml:space="preserve">Geographical Analysis</w:t>
      </w:r>
      <w:r>
        <w:t xml:space="preserve"> </w:t>
      </w:r>
      <w:r>
        <w:t xml:space="preserve">30 (1): 45–64.</w:t>
      </w:r>
      <w:r>
        <w:t xml:space="preserve"> </w:t>
      </w:r>
      <w:hyperlink r:id="rId97">
        <w:r>
          <w:rPr>
            <w:rStyle w:val="Lienhypertexte"/>
          </w:rPr>
          <w:t xml:space="preserve">https://doi.org/10.1111/j.1538-4632.1998.tb00388.x</w:t>
        </w:r>
      </w:hyperlink>
      <w:r>
        <w:t xml:space="preserve">.</w:t>
      </w:r>
    </w:p>
    <w:bookmarkEnd w:id="98"/>
    <w:bookmarkStart w:id="100" w:name="ref-Tidu2023"/>
    <w:p>
      <w:pPr>
        <w:pStyle w:val="Bibliographie"/>
      </w:pPr>
      <w:r>
        <w:t xml:space="preserve">Tidu, Alberto, Frederick Guy, and Stefano Usai. 2024.</w:t>
      </w:r>
      <w:r>
        <w:t xml:space="preserve"> </w:t>
      </w:r>
      <w:r>
        <w:t xml:space="preserve">“Measuring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 </w:t>
      </w:r>
      <w:r>
        <w:t xml:space="preserve">56: 384–403.</w:t>
      </w:r>
      <w:r>
        <w:t xml:space="preserve"> </w:t>
      </w:r>
      <w:hyperlink r:id="rId99">
        <w:r>
          <w:rPr>
            <w:rStyle w:val="Lienhypertexte"/>
          </w:rPr>
          <w:t xml:space="preserve">https://doi.org/10.1111/gean.12381</w:t>
        </w:r>
      </w:hyperlink>
      <w:r>
        <w:t xml:space="preserve">.</w:t>
      </w:r>
    </w:p>
    <w:bookmarkEnd w:id="100"/>
    <w:bookmarkEnd w:id="101"/>
    <w:bookmarkEnd w:id="102"/>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Computation of Large Spatial Datasets With M</dc:title>
  <dc:creator/>
  <dc:language>en-US</dc:language>
  <cp:keywords>Distance-based method, M-function, Performance test, R Package dbmss</cp:keywords>
  <dcterms:created xsi:type="dcterms:W3CDTF">2024-10-29T18:14:25Z</dcterms:created>
  <dcterms:modified xsi:type="dcterms:W3CDTF">2024-10-29T18:14:25Z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Guy, and Usai (2024) highlight the qualities of the M function (Marcon and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Guy, and Usai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29 October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quotes">
    <vt:lpwstr>True</vt:lpwstr>
  </property>
  <property fmtid="{D5CDD505-2E9C-101B-9397-08002B2CF9AE}" pid="11" name="date">
    <vt:lpwstr>2024 October 29</vt:lpwstr>
  </property>
  <property fmtid="{D5CDD505-2E9C-101B-9397-08002B2CF9AE}" pid="12" name="fontsize">
    <vt:lpwstr>10pt</vt:lpwstr>
  </property>
  <property fmtid="{D5CDD505-2E9C-101B-9397-08002B2CF9AE}" pid="13" name="github-repo">
    <vt:lpwstr>EricMarcon/MLargeDataSets</vt:lpwstr>
  </property>
  <property fmtid="{D5CDD505-2E9C-101B-9397-08002B2CF9AE}" pid="14" name="journalinfo">
    <vt:lpwstr>Preprint</vt:lpwstr>
  </property>
  <property fmtid="{D5CDD505-2E9C-101B-9397-08002B2CF9AE}" pid="15" name="keywordlabel">
    <vt:lpwstr>Keywords</vt:lpwstr>
  </property>
  <property fmtid="{D5CDD505-2E9C-101B-9397-08002B2CF9AE}" pid="16" name="output">
    <vt:lpwstr/>
  </property>
  <property fmtid="{D5CDD505-2E9C-101B-9397-08002B2CF9AE}" pid="17" name="toc-depth">
    <vt:lpwstr>3</vt:lpwstr>
  </property>
  <property fmtid="{D5CDD505-2E9C-101B-9397-08002B2CF9AE}" pid="18" name="url">
    <vt:lpwstr>https://EricMarcon.github.io/MLargeDataSets/</vt:lpwstr>
  </property>
  <property fmtid="{D5CDD505-2E9C-101B-9397-08002B2CF9AE}" pid="19" name="urlcolor">
    <vt:lpwstr>blue</vt:lpwstr>
  </property>
</Properties>
</file>