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May</w:t>
      </w:r>
      <w:r>
        <w:t xml:space="preserve"> </w:t>
      </w:r>
      <w:r>
        <w:t xml:space="preserve">27,</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In</w:t>
      </w:r>
      <w:r>
        <w:t xml:space="preserve"> </w:t>
      </w:r>
      <w:r>
        <w:t xml:space="preserve">this</w:t>
      </w:r>
      <w:r>
        <w:t xml:space="preserve"> </w:t>
      </w:r>
      <w:r>
        <w:t xml:space="preserve">line,</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into</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We</w:t>
      </w:r>
      <w:r>
        <w:t xml:space="preserve"> </w:t>
      </w:r>
      <w:r>
        <w:t xml:space="preserve">recommend</w:t>
      </w:r>
      <w:r>
        <w:t xml:space="preserve"> </w:t>
      </w:r>
      <w:r>
        <w:t xml:space="preserve">designing</w:t>
      </w:r>
      <w:r>
        <w:t xml:space="preserve"> </w:t>
      </w:r>
      <w:r>
        <w:t xml:space="preserve">the</w:t>
      </w:r>
      <w:r>
        <w:t xml:space="preserve"> </w:t>
      </w:r>
      <w:r>
        <w:t xml:space="preserve">analysis</w:t>
      </w:r>
      <w:r>
        <w:t xml:space="preserve"> </w:t>
      </w:r>
      <w:r>
        <w:t xml:space="preserve">of</w:t>
      </w:r>
      <w:r>
        <w:t xml:space="preserve"> </w:t>
      </w:r>
      <w:r>
        <w:t xml:space="preserve">large</w:t>
      </w:r>
      <w:r>
        <w:t xml:space="preserve"> </w:t>
      </w:r>
      <w:r>
        <w:t xml:space="preserve">datasets</w:t>
      </w:r>
      <w:r>
        <w:t xml:space="preserve"> </w:t>
      </w:r>
      <w:r>
        <w:t xml:space="preserve">taking</w:t>
      </w:r>
      <w:r>
        <w:t xml:space="preserve"> </w:t>
      </w:r>
      <w:r>
        <w:t xml:space="preserve">it</w:t>
      </w:r>
      <w:r>
        <w:t xml:space="preserve"> </w:t>
      </w:r>
      <w:r>
        <w:t xml:space="preserve">into</w:t>
      </w:r>
      <w:r>
        <w:t xml:space="preserve"> </w:t>
      </w:r>
      <w:r>
        <w:t xml:space="preserve">account.</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w:t>
      </w:r>
      <w:r>
        <w:t xml:space="preserve"> </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t xml:space="preserve">In our paper, we propose to test the effectiveness of</w:t>
      </w:r>
      <w:r>
        <w:t xml:space="preserve"> </w:t>
      </w:r>
      <w:r>
        <w:t xml:space="preserve">Tidu et al. (2024)</w:t>
      </w:r>
      <w: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Cs/>
          <w:i/>
        </w:rPr>
        <w:t xml:space="preserve">dbmss</w:t>
      </w:r>
      <w:r>
        <w:t xml:space="preserve"> </w:t>
      </w:r>
      <w:r>
        <w:t xml:space="preserve">package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(of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geolocalized points without relying on a specific zoning of space.</w:t>
      </w:r>
      <w:r>
        <w:t xml:space="preserve"> </w:t>
      </w:r>
      <w:r>
        <w:t xml:space="preserve">As any distance-based methods,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defines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lesser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which used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and not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study the location of shops at a urban level,</w:t>
      </w:r>
      <w:r>
        <w:t xml:space="preserve"> </w:t>
      </w:r>
      <w:r>
        <w:t xml:space="preserve">Coll-Martínez et al. (2019)</w:t>
      </w:r>
      <w:r>
        <w:t xml:space="preserve"> </w:t>
      </w:r>
      <w:r>
        <w:t xml:space="preserve">analyse the one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as in</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 see 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has been developed to analyse interactions among entities in a context of heteregeneous space.</w:t>
      </w:r>
      <w:r>
        <w:t xml:space="preserve"> </w:t>
      </w:r>
      <w:r>
        <w:t xml:space="preserve">It means that within this statistical framework, we consider that any entity analysed has not the same probability to locate everywhere on the territory (</w:t>
      </w:r>
      <w:r>
        <w:rPr>
          <w:iCs/>
          <w:i/>
        </w:rPr>
        <w:t xml:space="preserve">first-order intensity property of the point pattern</w:t>
      </w:r>
      <w:r>
        <w:t xml:space="preserve">).</w:t>
      </w:r>
      <w:r>
        <w:t xml:space="preserve"> </w:t>
      </w:r>
      <w:r>
        <w:t xml:space="preserve">Then after controlling for space heterogeneity, we are able to identify interactions and thus detect spatial concentration or dispersion (</w:t>
      </w:r>
      <w:r>
        <w:rPr>
          <w:iCs/>
          <w:i/>
        </w:rPr>
        <w:t xml:space="preserve">second-order intensity property of the point pattern</w:t>
      </w:r>
      <w:r>
        <w:t xml:space="preserve">).</w:t>
      </w:r>
      <w:r>
        <w:t xml:space="preserve"> </w:t>
      </w:r>
      <w:r>
        <w:t xml:space="preserve">Controlling for space heterogeneity is a consistent assumption for studying agglomeration of industries (see discussion of</w:t>
      </w:r>
      <w:r>
        <w:t xml:space="preserve"> </w:t>
      </w:r>
      <w:r>
        <w:t xml:space="preserve">Duranton &amp; Overman (2005)</w:t>
      </w:r>
      <w:r>
        <w:t xml:space="preserve"> </w:t>
      </w:r>
      <w:r>
        <w:t xml:space="preserve">on that subject).</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 at the centre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geolocalised position of point </w:t>
      </w:r>
      <m:oMath>
        <m:r>
          <m:t>i</m:t>
        </m:r>
      </m:oMath>
      <w:r>
        <w:t xml:space="preserve"> </w:t>
      </w:r>
      <w:r>
        <w:t xml:space="preserve">of the reference type </w:t>
      </w:r>
      <m:oMath>
        <m:r>
          <m:t>s</m:t>
        </m:r>
      </m:oMath>
      <w:r>
        <w:t xml:space="preserve">, at the centre of the disk (the point at which the neighbourhood is to be analyzed),</w:t>
      </w:r>
    </w:p>
    <w:p>
      <w:pPr>
        <w:numPr>
          <w:ilvl w:val="0"/>
          <w:numId w:val="1002"/>
        </w:numPr>
        <w:pStyle w:val="Compact"/>
      </w:pPr>
      <m:oMath>
        <m:sSubSup>
          <m:e>
            <m:r>
              <m:t>x</m:t>
            </m:r>
          </m:e>
          <m:sub>
            <m:r>
              <m:t>j</m:t>
            </m:r>
          </m:sub>
          <m:sup>
            <m:r>
              <m:t>s</m:t>
            </m:r>
          </m:sup>
        </m:sSubSup>
      </m:oMath>
      <w:r>
        <w:t xml:space="preserve">, the geolocalised position of a neighbour of interest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geolocalised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oMath>
      <w:r>
        <w:t xml:space="preserve">, the indicator function equal to 1 if the distance between</w:t>
      </w:r>
      <w:r>
        <w:t xml:space="preserve"> </w:t>
      </w:r>
      <m:oMath>
        <m:sSubSup>
          <m:e>
            <m:r>
              <m:t>x</m:t>
            </m:r>
          </m:e>
          <m:sub>
            <m:r>
              <m:t>i</m:t>
            </m:r>
          </m:sub>
          <m:sup>
            <m:r>
              <m:t>s</m:t>
            </m:r>
          </m:sup>
        </m:sSubSup>
      </m:oMath>
      <w:r>
        <w:t xml:space="preserve"> </w:t>
      </w:r>
      <w:r>
        <w:t xml:space="preserve">and</w:t>
      </w:r>
      <w:r>
        <w:t xml:space="preserve"> </w:t>
      </w:r>
      <m:oMath>
        <m:sSubSup>
          <m:e>
            <m:r>
              <m:t>x</m:t>
            </m:r>
          </m:e>
          <m:sub>
            <m:r>
              <m:t>j</m:t>
            </m:r>
          </m:sub>
          <m:sup>
            <m:r>
              <m:t>s</m:t>
            </m:r>
          </m:sup>
        </m:sSubSup>
      </m:oMath>
      <w:r>
        <w:t xml:space="preserve"> </w:t>
      </w:r>
      <w:r>
        <w:t xml:space="preserve">is at most equal to</w:t>
      </w:r>
      <w:r>
        <w:t xml:space="preserve">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certain number of remarks has to be done.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given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lesser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has to be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also proposed to used network-distances.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squared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choice of the optimal level of the grid seems today an open question as</w:t>
      </w:r>
      <w:r>
        <w:t xml:space="preserve"> </w:t>
      </w:r>
      <w:r>
        <w:t xml:space="preserve">Arbia et al. (2021)</w:t>
      </w:r>
      <w:r>
        <w:t xml:space="preserve"> </w:t>
      </w:r>
      <w:r>
        <w:t xml:space="preserve">write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 after recentring.</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parallezing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the computing time or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2.57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1.5).</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10 milliseconds for estimating the</w:t>
      </w:r>
      <w:r>
        <w:t xml:space="preserve"> </w:t>
      </w:r>
      <w:r>
        <w:rPr>
          <w:iCs/>
          <w:i/>
        </w:rPr>
        <w:t xml:space="preserve">M</w:t>
      </w:r>
      <w:r>
        <w:t xml:space="preserve"> function from a set of 5,000 points or 16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of the order of 8 bytes times the number of points squared, i.e. 800 MB for 10,000 points only.</w:t>
      </w:r>
      <w:r>
        <w:t xml:space="preserve"> </w:t>
      </w:r>
      <w:r>
        <w:t xml:space="preserve">As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 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A careful use of the locations’ approximation is recommended in case of clustering distributions, notably for studies that suspect localized interactions at very small distances (as for existence of information externalities for example or contagion phenomenon).</w:t>
      </w:r>
      <w:r>
        <w:rPr>
          <w:bCs/>
          <w:b/>
        </w:rPr>
        <w:t xml:space="preserve"> </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conceivable.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3 seconds for a set of 100,000 points on a modern comptuter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50 minutes.</w:t>
      </w:r>
      <w:r>
        <w:t xml:space="preserve"> </w:t>
      </w:r>
      <w:r>
        <w:t xml:space="preserve">For a set of five million points, the power law predicts around 10 minutes of computing time.</w:t>
      </w:r>
      <w:r>
        <w:t xml:space="preserve"> </w:t>
      </w:r>
      <w:r>
        <w:t xml:space="preserve">1,000 simulations would then take around 7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rPr>
          <w:bCs/>
          <w:b/>
        </w:rPr>
        <w:t xml:space="preserve"> </w:t>
      </w:r>
      <m:oMath>
        <m:sSup>
          <m:e>
            <m:r>
              <m:t>10</m:t>
            </m:r>
          </m:e>
          <m:sup>
            <m:r>
              <m:t>5</m:t>
            </m:r>
          </m:sup>
        </m:sSup>
      </m:oMath>
      <w:r>
        <w:rPr>
          <w:bCs/>
          <w:b/>
        </w:rPr>
        <w:t xml:space="preserve"> </w:t>
      </w:r>
      <w:r>
        <w:rPr>
          <w:bCs/>
          <w:b/>
        </w:rPr>
        <w:t xml:space="preserve">points</w:t>
      </w:r>
      <w:r>
        <w:t xml:space="preserve">: less than an hour is enough to calculate confidence intervals.</w:t>
      </w:r>
      <w:r>
        <w:t xml:space="preserve"> </w:t>
      </w:r>
      <w:r>
        <w:t xml:space="preserve">Since parallelizing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Concerning the error generated in the</w:t>
      </w:r>
      <w:r>
        <w:t xml:space="preserve"> </w:t>
      </w:r>
      <w:r>
        <w:rPr>
          <w:iCs/>
          <w:i/>
        </w:rPr>
        <w:t xml:space="preserve">M</w:t>
      </w:r>
      <w:r>
        <w:t xml:space="preserve">’s estimates results if the approximation of location is used, our results more or less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quite weak correlation under the size of the grid.</w:t>
      </w:r>
      <w:r>
        <w:t xml:space="preserve"> </w:t>
      </w:r>
      <w:r>
        <w:t xml:space="preserve">The loss of information seems not to be acceptable if the interactions are suspected at a distance lower than the size of the grid.</w:t>
      </w:r>
      <w:r>
        <w:t xml:space="preserve"> </w:t>
      </w:r>
      <w:r>
        <w:t xml:space="preserve">To conclude,</w:t>
      </w:r>
      <w:r>
        <w:t xml:space="preserve"> </w:t>
      </w:r>
      <w:r>
        <w:rPr>
          <w:bCs/>
          <w:b/>
        </w:rPr>
        <w:t xml:space="preserve">approximation on location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if a quite important error in the estimates may happened</w:t>
      </w:r>
      <w:r>
        <w:t xml:space="preserve">. 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5" w:name="references"/>
    <w:p>
      <w:pPr>
        <w:pStyle w:val="Titre1"/>
      </w:pPr>
      <w:r>
        <w:t xml:space="preserve">References</w:t>
      </w:r>
    </w:p>
    <w:bookmarkStart w:id="114"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w:t>
      </w:r>
      <w:r>
        <w:t xml:space="preserve">(First). Routledge, Taylor &amp; Francis Group.</w:t>
      </w:r>
    </w:p>
    <w:bookmarkEnd w:id="67"/>
    <w:bookmarkStart w:id="68"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68"/>
    <w:bookmarkStart w:id="70"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69">
        <w:r>
          <w:rPr>
            <w:rStyle w:val="Lienhypertexte"/>
          </w:rPr>
          <w:t xml:space="preserve">https://doi.org/10.1111/joes.12267</w:t>
        </w:r>
      </w:hyperlink>
    </w:p>
    <w:bookmarkEnd w:id="70"/>
    <w:bookmarkStart w:id="72"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1">
        <w:r>
          <w:rPr>
            <w:rStyle w:val="Lienhypertexte"/>
          </w:rPr>
          <w:t xml:space="preserve">https://doi.org/10.1111/pirs.12330</w:t>
        </w:r>
      </w:hyperlink>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0">
        <w:r>
          <w:rPr>
            <w:rStyle w:val="Lienhypertexte"/>
          </w:rPr>
          <w:t xml:space="preserve">https://doi.org/10.1109/tip.2005.852466</w:t>
        </w:r>
      </w:hyperlink>
    </w:p>
    <w:bookmarkEnd w:id="81"/>
    <w:bookmarkStart w:id="83"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2">
        <w:r>
          <w:rPr>
            <w:rStyle w:val="Lienhypertexte"/>
          </w:rPr>
          <w:t xml:space="preserve">https://doi.org/10.1007/s00168-009-0342-3</w:t>
        </w:r>
      </w:hyperlink>
    </w:p>
    <w:bookmarkEnd w:id="83"/>
    <w:bookmarkStart w:id="85" w:name="ref-Kukuliac2017"/>
    <w:p>
      <w:pPr>
        <w:pStyle w:val="Bibliographie"/>
      </w:pPr>
      <w:r>
        <w:t xml:space="preserve">Kukuliač, P., &amp; Horák, J. (2017). W function:</w:t>
      </w:r>
      <w:r>
        <w:t xml:space="preserve"> </w:t>
      </w:r>
      <w:r>
        <w:t xml:space="preserve">A</w:t>
      </w:r>
      <w:r>
        <w:t xml:space="preserve"> </w:t>
      </w:r>
      <w:r>
        <w:t xml:space="preserve">new distance-based measure of spatial distribution of economic activities.</w:t>
      </w:r>
      <w:r>
        <w:t xml:space="preserve"> </w:t>
      </w:r>
      <w:r>
        <w:rPr>
          <w:iCs/>
          <w:i/>
        </w:rPr>
        <w:t xml:space="preserve">Geographical Analysis</w:t>
      </w:r>
      <w:r>
        <w:t xml:space="preserve">,</w:t>
      </w:r>
      <w:r>
        <w:t xml:space="preserve"> </w:t>
      </w:r>
      <w:r>
        <w:rPr>
          <w:iCs/>
          <w:i/>
        </w:rPr>
        <w:t xml:space="preserve">49</w:t>
      </w:r>
      <w:r>
        <w:t xml:space="preserve">(2), 199–214.</w:t>
      </w:r>
      <w:r>
        <w:t xml:space="preserve"> </w:t>
      </w:r>
      <w:hyperlink r:id="rId84">
        <w:r>
          <w:rPr>
            <w:rStyle w:val="Lienhypertexte"/>
          </w:rPr>
          <w:t xml:space="preserve">https://doi.org/10.1111/gean.12120</w:t>
        </w:r>
      </w:hyperlink>
    </w:p>
    <w:bookmarkEnd w:id="85"/>
    <w:bookmarkStart w:id="87"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6">
        <w:r>
          <w:rPr>
            <w:rStyle w:val="Lienhypertexte"/>
          </w:rPr>
          <w:t xml:space="preserve">https://doi.org/10.1371/journal.pone.0021830</w:t>
        </w:r>
      </w:hyperlink>
    </w:p>
    <w:bookmarkEnd w:id="87"/>
    <w:bookmarkStart w:id="89"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8">
        <w:r>
          <w:rPr>
            <w:rStyle w:val="Lienhypertexte"/>
          </w:rPr>
          <w:t xml:space="preserve">https://doi.org/10.1093/jeg/lbg016</w:t>
        </w:r>
      </w:hyperlink>
    </w:p>
    <w:bookmarkEnd w:id="89"/>
    <w:bookmarkStart w:id="91"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0">
        <w:r>
          <w:rPr>
            <w:rStyle w:val="Lienhypertexte"/>
          </w:rPr>
          <w:t xml:space="preserve">https://doi.org/10.1093/jeg/lbp056</w:t>
        </w:r>
      </w:hyperlink>
    </w:p>
    <w:bookmarkEnd w:id="91"/>
    <w:bookmarkStart w:id="93"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2">
        <w:r>
          <w:rPr>
            <w:rStyle w:val="Lienhypertexte"/>
          </w:rPr>
          <w:t xml:space="preserve">https://doi.org/10.1016/j.regsciurbeco.2016.10.004</w:t>
        </w:r>
      </w:hyperlink>
    </w:p>
    <w:bookmarkEnd w:id="93"/>
    <w:bookmarkStart w:id="95"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4">
        <w:r>
          <w:rPr>
            <w:rStyle w:val="Lienhypertexte"/>
          </w:rPr>
          <w:t xml:space="preserve">https://doi.org/10.1155/2012/619281</w:t>
        </w:r>
      </w:hyperlink>
    </w:p>
    <w:bookmarkEnd w:id="95"/>
    <w:bookmarkStart w:id="97"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6">
        <w:r>
          <w:rPr>
            <w:rStyle w:val="Lienhypertexte"/>
          </w:rPr>
          <w:t xml:space="preserve">https://doi.org/10.18637/jss.v067.c03</w:t>
        </w:r>
      </w:hyperlink>
    </w:p>
    <w:bookmarkEnd w:id="97"/>
    <w:bookmarkStart w:id="98"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8"/>
    <w:bookmarkStart w:id="99" w:name="ref-Moller2004"/>
    <w:p>
      <w:pPr>
        <w:pStyle w:val="Bibliographie"/>
      </w:pPr>
      <w:r>
        <w:t xml:space="preserve">Møller, J., &amp; Waagepetersen, R. P. (2004). Statistical inference and simulation for spatial point processes. In</w:t>
      </w:r>
      <w:r>
        <w:t xml:space="preserve"> </w:t>
      </w:r>
      <w:r>
        <w:rPr>
          <w:iCs/>
          <w:i/>
        </w:rPr>
        <w:t xml:space="preserve">Monographs on statistics and applied probabilities</w:t>
      </w:r>
      <w:r>
        <w:t xml:space="preserve"> </w:t>
      </w:r>
      <w:r>
        <w:t xml:space="preserve">(Vol. 100).</w:t>
      </w:r>
      <w:r>
        <w:t xml:space="preserve"> </w:t>
      </w:r>
      <w:r>
        <w:t xml:space="preserve">Chapman and Hall</w:t>
      </w:r>
      <w:r>
        <w:t xml:space="preserve">.</w:t>
      </w:r>
    </w:p>
    <w:bookmarkEnd w:id="99"/>
    <w:bookmarkStart w:id="101"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0">
        <w:r>
          <w:rPr>
            <w:rStyle w:val="Lienhypertexte"/>
          </w:rPr>
          <w:t xml:space="preserve">https://doi.org/10.1007/978-3-642-28894-4_32</w:t>
        </w:r>
      </w:hyperlink>
    </w:p>
    <w:bookmarkEnd w:id="101"/>
    <w:bookmarkStart w:id="102"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2"/>
    <w:bookmarkStart w:id="10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3"/>
    <w:bookmarkStart w:id="105"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4">
        <w:r>
          <w:rPr>
            <w:rStyle w:val="Lienhypertexte"/>
          </w:rPr>
          <w:t xml:space="preserve">https://www.jstor.org/stable/2242958</w:t>
        </w:r>
      </w:hyperlink>
    </w:p>
    <w:bookmarkEnd w:id="105"/>
    <w:bookmarkStart w:id="107"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6">
        <w:r>
          <w:rPr>
            <w:rStyle w:val="Lienhypertexte"/>
          </w:rPr>
          <w:t xml:space="preserve">https://www.jstor.org/stable/2984796</w:t>
        </w:r>
      </w:hyperlink>
    </w:p>
    <w:bookmarkEnd w:id="107"/>
    <w:bookmarkStart w:id="109"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8">
        <w:r>
          <w:rPr>
            <w:rStyle w:val="Lienhypertexte"/>
          </w:rPr>
          <w:t xml:space="preserve">https://doi.org/10.1007/s10109-015-0219-1</w:t>
        </w:r>
      </w:hyperlink>
    </w:p>
    <w:bookmarkEnd w:id="109"/>
    <w:bookmarkStart w:id="111"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10">
        <w:r>
          <w:rPr>
            <w:rStyle w:val="Lienhypertexte"/>
          </w:rPr>
          <w:t xml:space="preserve">https://doi.org/10.1111/j.1538-4632.1998.tb00388.x</w:t>
        </w:r>
      </w:hyperlink>
    </w:p>
    <w:bookmarkEnd w:id="111"/>
    <w:bookmarkStart w:id="113"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2">
        <w:r>
          <w:rPr>
            <w:rStyle w:val="Lienhypertexte"/>
          </w:rPr>
          <w:t xml:space="preserve">https://doi.org/10.1111/gean.12381</w:t>
        </w:r>
      </w:hyperlink>
    </w:p>
    <w:bookmarkEnd w:id="113"/>
    <w:bookmarkEnd w:id="114"/>
    <w:bookmarkEnd w:id="115"/>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0"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84" Target="https://doi.org/10.1111/gean.12120" TargetMode="External" /><Relationship Type="http://schemas.openxmlformats.org/officeDocument/2006/relationships/hyperlink" Id="rId112"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84" Target="https://doi.org/10.1111/gean.12120" TargetMode="External" /><Relationship Type="http://schemas.openxmlformats.org/officeDocument/2006/relationships/hyperlink" Id="rId112"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2025-05-27T11:56:16Z</dcterms:created>
  <dcterms:modified xsi:type="dcterms:W3CDTF">2025-05-27T11:56:16Z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In this line, distance-based methods have been largely developed in many scientific fields to detect spatial concentration, dispersion or independence of entities at any distance and without any bias. In a recent article, Tidu et al. (2024) highlight the qualities of the M function (Marcon &amp; Puech, 2010), a relative distance-based measure, but they also express reservations for the computation times required. In our article, we propose a methodological work that seeks to specify the processing of large spatialised datasets with the M function by using R software. We appraise the computational performance of M into two ways. At first, a precise evaluation of the computational time and memory requirements for geo-referenced data is carried out using the dbmss package in R by means of performance tests. Then, as suggested by Tidu et al. (2024), we consider an approximation of the geographical positions of the entities. The extent of the deterioration in the estimate of M is estimated and discussed, as the gains in computation time. We give evidence that the individual location approximation generates information loss at small distances, implying a trade-off between the smallest distance at which spatial interactions can be detected and computing performance. We recommend designing the analysis of large datasets taking it into account.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May 27,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May 27,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