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 May 23</w:t>
      </w:r>
    </w:p>
    <w:p>
      <w:pPr>
        <w:pStyle w:val="AbstractTitle"/>
      </w:pPr>
      <w:r>
        <w:t xml:space="preserve">Abstract</w:t>
      </w:r>
    </w:p>
    <w:p>
      <w:pPr>
        <w:pStyle w:val="Abstract"/>
      </w:pPr>
      <w:r>
        <w:t xml:space="preserve">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w:t>
      </w:r>
      <w:r>
        <w:t xml:space="preserve"> </w:t>
      </w:r>
      <w:r>
        <w:t xml:space="preserve">Tidu et al. (2024)</w:t>
      </w:r>
      <w:r>
        <w:t xml:space="preserve"> </w:t>
      </w:r>
      <w:r>
        <w:t xml:space="preserve">highlight the qualities of the</w:t>
      </w:r>
      <w:r>
        <w:t xml:space="preserve"> </w:t>
      </w:r>
      <w:r>
        <w:rPr>
          <w:i/>
          <w:iCs/>
        </w:rPr>
        <w:t xml:space="preserve">M</w:t>
      </w:r>
      <w:r>
        <w:t xml:space="preserve"> </w:t>
      </w:r>
      <w:r>
        <w:t xml:space="preserve">function</w:t>
      </w:r>
      <w:r>
        <w:t xml:space="preserve"> </w:t>
      </w:r>
      <w:r>
        <w:t xml:space="preserve">(Marcon &amp; Puech, 2010)</w:t>
      </w:r>
      <w:r>
        <w:t xml:space="preserve">, a relative distance-based measure.</w:t>
      </w:r>
      <w:r>
        <w:t xml:space="preserve"> </w:t>
      </w:r>
      <w:r>
        <w:t xml:space="preserve">Tidu et al. (2024)</w:t>
      </w:r>
      <w:r>
        <w:t xml:space="preserve"> </w:t>
      </w:r>
      <w:r>
        <w:t xml:space="preserve">also express reservations about</w:t>
      </w:r>
      <w:r>
        <w:t xml:space="preserve"> </w:t>
      </w:r>
      <w:r>
        <w:rPr>
          <w:i/>
          <w:iCs/>
        </w:rPr>
        <w:t xml:space="preserve">M</w:t>
      </w:r>
      <w:r>
        <w:t xml:space="preserve"> </w:t>
      </w:r>
      <w:r>
        <w:t xml:space="preserve">for the computation times required. In our article, we propose a methodological work that seeks to specify the processing of large spatialized datasets with the</w:t>
      </w:r>
      <w:r>
        <w:t xml:space="preserve"> </w:t>
      </w:r>
      <w:r>
        <w:rPr>
          <w:i/>
          <w:iCs/>
        </w:rPr>
        <w:t xml:space="preserve">M</w:t>
      </w:r>
      <w:r>
        <w:t xml:space="preserve"> </w:t>
      </w:r>
      <w:r>
        <w:t xml:space="preserve">function by using R software. Two avenues are being explored to determine the computational performance of</w:t>
      </w:r>
      <w:r>
        <w:t xml:space="preserve"> </w:t>
      </w:r>
      <w:r>
        <w:rPr>
          <w:i/>
          <w:iCs/>
        </w:rPr>
        <w:t xml:space="preserve">M</w:t>
      </w:r>
      <w:r>
        <w:t xml:space="preserve">. A precise evaluation of the computational time and memory requirements for geolocalised data is at first carried out using the</w:t>
      </w:r>
      <w:r>
        <w:t xml:space="preserve"> </w:t>
      </w:r>
      <w:r>
        <w:rPr>
          <w:i/>
          <w:iCs/>
        </w:rPr>
        <w:t xml:space="preserve">dbmss</w:t>
      </w:r>
      <w:r>
        <w:t xml:space="preserve"> </w:t>
      </w:r>
      <w:r>
        <w:t xml:space="preserve">package in R</w:t>
      </w:r>
      <w:r>
        <w:t xml:space="preserve"> </w:t>
      </w:r>
      <w:r>
        <w:t xml:space="preserve">(Marcon et al., 2015)</w:t>
      </w:r>
      <w:r>
        <w:t xml:space="preserve"> </w:t>
      </w:r>
      <w:r>
        <w:t xml:space="preserve">by means of performance tests. Then, as suggested by</w:t>
      </w:r>
      <w:r>
        <w:t xml:space="preserve"> </w:t>
      </w:r>
      <w:r>
        <w:t xml:space="preserve">Tidu et al. (2024)</w:t>
      </w:r>
      <w:r>
        <w:t xml:space="preserve">, approximating the geographical positions of the entities analysed is considered. The extent of the deterioration in the estimate of</w:t>
      </w:r>
      <w:r>
        <w:t xml:space="preserve"> </w:t>
      </w:r>
      <w:r>
        <w:rPr>
          <w:i/>
          <w:iCs/>
        </w:rPr>
        <w:t xml:space="preserve">M</w:t>
      </w:r>
      <w:r>
        <w:t xml:space="preserve"> </w:t>
      </w:r>
      <w:r>
        <w:t xml:space="preserve">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datasets taking it into account. The R code is given for the reproducibility of our 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to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On the other hand,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
          <w:iCs/>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fifth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
          <w:iCs/>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
          <w:iCs/>
        </w:rPr>
        <w:t xml:space="preserve">M</w:t>
      </w:r>
      <w:r>
        <w:t xml:space="preserve"> </w:t>
      </w:r>
      <w:r>
        <w:t xml:space="preserve">function that evaluates the dependence between geolocalized points without relying on a specific zoning of space.</w:t>
      </w:r>
      <w:r>
        <w:t xml:space="preserve"> </w:t>
      </w:r>
      <w:r>
        <w:t xml:space="preserve">As any distance-based methods, the calculation of</w:t>
      </w:r>
      <w:r>
        <w:t xml:space="preserve"> </w:t>
      </w:r>
      <w:r>
        <w:rPr>
          <w:i/>
          <w:iCs/>
        </w:rPr>
        <w:t xml:space="preserve">M</w:t>
      </w:r>
      <w:r>
        <w:t xml:space="preserve"> </w:t>
      </w:r>
      <w:r>
        <w:t xml:space="preserve">is based on distances that separate entities under study (establishment, shops…).</w:t>
      </w:r>
      <w:r>
        <w:t xml:space="preserve"> </w:t>
      </w:r>
      <w:r>
        <w:t xml:space="preserve">The idea of the</w:t>
      </w:r>
      <w:r>
        <w:t xml:space="preserve"> </w:t>
      </w:r>
      <w:r>
        <w:rPr>
          <w:i/>
          <w:iCs/>
        </w:rPr>
        <w:t xml:space="preserve">M</w:t>
      </w:r>
      <w:r>
        <w:t xml:space="preserve"> </w:t>
      </w:r>
      <w:r>
        <w:t xml:space="preserve">function is simple: it compares two proportions of neighbours of interest, a local one to a global one.</w:t>
      </w:r>
      <w:r>
        <w:t xml:space="preserve"> </w:t>
      </w:r>
      <w:r>
        <w:t xml:space="preserve">The local one is defined as the proportion of neighbours of interest within a distance</w:t>
      </w:r>
      <w:r>
        <w:t xml:space="preserve"> </w:t>
      </w:r>
      <w:r>
        <w:rPr>
          <w:i/>
          <w:iCs/>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pStyle w:val="Compact"/>
        <w:numPr>
          <w:ilvl w:val="0"/>
          <w:numId w:val="1001"/>
        </w:numPr>
      </w:pPr>
      <w:r>
        <w:t xml:space="preserve">spatial concentration (attraction) of entities if the proportion of local neighbours is greater than the one observed on the entire territory,</w:t>
      </w:r>
    </w:p>
    <w:p>
      <w:pPr>
        <w:pStyle w:val="Compact"/>
        <w:numPr>
          <w:ilvl w:val="0"/>
          <w:numId w:val="1001"/>
        </w:numPr>
      </w:pPr>
      <w:r>
        <w:t xml:space="preserve">spatial dispersion (repulsion) of entities if the relative proportion of local neighbours is lesser than the one observed all over the territory,</w:t>
      </w:r>
    </w:p>
    <w:p>
      <w:pPr>
        <w:pStyle w:val="Compact"/>
        <w:numPr>
          <w:ilvl w:val="0"/>
          <w:numId w:val="1001"/>
        </w:numPr>
      </w:pPr>
      <w:r>
        <w:t xml:space="preserve">independence between entities if the local distribution of neighbours does not differ from the global one.</w:t>
      </w:r>
    </w:p>
    <w:p>
      <w:pPr>
        <w:pStyle w:val="FirstParagraph"/>
      </w:pPr>
      <w:r>
        <w:t xml:space="preserve">This comparison of proportions of neighbours defines</w:t>
      </w:r>
      <w:r>
        <w:t xml:space="preserve"> </w:t>
      </w:r>
      <w:r>
        <w:rPr>
          <w:i/>
          <w:iCs/>
        </w:rPr>
        <w:t xml:space="preserve">M</w:t>
      </w:r>
      <w:r>
        <w:t xml:space="preserve"> </w:t>
      </w:r>
      <w:r>
        <w:t xml:space="preserve">as a</w:t>
      </w:r>
      <w:r>
        <w:t xml:space="preserve"> </w:t>
      </w:r>
      <w:r>
        <w:rPr>
          <w:i/>
          <w:iCs/>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
          <w:iCs/>
        </w:rPr>
        <w:t xml:space="preserve">topographic</w:t>
      </w:r>
      <w:r>
        <w:t xml:space="preserve"> </w:t>
      </w:r>
      <w:r>
        <w:t xml:space="preserve">distance-based measures is preferred for those which used the surface area as a benchmark, as the well-known Ripley’s</w:t>
      </w:r>
      <w:r>
        <w:t xml:space="preserve"> </w:t>
      </w:r>
      <w:r>
        <w:rPr>
          <w:i/>
          <w:iCs/>
        </w:rPr>
        <w:t xml:space="preserve">K</w:t>
      </w:r>
      <w:r>
        <w:t xml:space="preserve"> </w:t>
      </w:r>
      <w:r>
        <w:t xml:space="preserve">function</w:t>
      </w:r>
      <w:r>
        <w:t xml:space="preserve"> </w:t>
      </w:r>
      <w:r>
        <w:t xml:space="preserve">(Ripley, 1976, 1977)</w:t>
      </w:r>
      <w:r>
        <w:t xml:space="preserve">.</w:t>
      </w:r>
      <w:r>
        <w:t xml:space="preserve"> </w:t>
      </w:r>
      <w:r>
        <w:t xml:space="preserve">Lastly, the</w:t>
      </w:r>
      <w:r>
        <w:t xml:space="preserve"> </w:t>
      </w:r>
      <w:r>
        <w:rPr>
          <w:i/>
          <w:iCs/>
        </w:rPr>
        <w:t xml:space="preserve">M</w:t>
      </w:r>
      <w:r>
        <w:t xml:space="preserve"> </w:t>
      </w:r>
      <w:r>
        <w:t xml:space="preserve">function is a</w:t>
      </w:r>
      <w:r>
        <w:t xml:space="preserve"> </w:t>
      </w:r>
      <w:r>
        <w:rPr>
          <w:i/>
          <w:iCs/>
        </w:rPr>
        <w:t xml:space="preserve">cumulative</w:t>
      </w:r>
      <w:r>
        <w:t xml:space="preserve"> </w:t>
      </w:r>
      <w:r>
        <w:t xml:space="preserve">distance-based method because the local environment is defined within a distance</w:t>
      </w:r>
      <w:r>
        <w:t xml:space="preserve"> </w:t>
      </w:r>
      <w:r>
        <w:rPr>
          <w:i/>
          <w:iCs/>
        </w:rPr>
        <w:t xml:space="preserve">r</w:t>
      </w:r>
      <w:r>
        <w:t xml:space="preserve"> </w:t>
      </w:r>
      <w:r>
        <w:t xml:space="preserve">and not at a distance</w:t>
      </w:r>
      <w:r>
        <w:t xml:space="preserve"> </w:t>
      </w:r>
      <w:r>
        <w:rPr>
          <w:i/>
          <w:iCs/>
        </w:rPr>
        <w:t xml:space="preserve">r</w:t>
      </w:r>
      <w:r>
        <w:t xml:space="preserve">.</w:t>
      </w:r>
    </w:p>
    <w:p>
      <w:pPr>
        <w:pStyle w:val="Corpsdetexte"/>
      </w:pPr>
      <w:r>
        <w:t xml:space="preserve">The possibility to detect exactly at which distance(s) the spatial concentration or dispersion appears coupled with the interpretation of the results open the way to describe very precisely the distribution of entities under study.</w:t>
      </w:r>
      <w:r>
        <w:t xml:space="preserve"> </w:t>
      </w:r>
      <w:r>
        <w:t xml:space="preserve">Moreover, an easy-computation of</w:t>
      </w:r>
      <w:r>
        <w:t xml:space="preserve"> </w:t>
      </w:r>
      <w:r>
        <w:rPr>
          <w:i/>
          <w:iCs/>
        </w:rPr>
        <w:t xml:space="preserve">M</w:t>
      </w:r>
      <w:r>
        <w:t xml:space="preserve"> </w:t>
      </w:r>
      <w:r>
        <w:t xml:space="preserve">is possible thanks to the</w:t>
      </w:r>
      <w:r>
        <w:t xml:space="preserve"> </w:t>
      </w:r>
      <w:r>
        <w:rPr>
          <w:i/>
          <w:iCs/>
        </w:rPr>
        <w:t xml:space="preserve">dbmss</w:t>
      </w:r>
      <w:r>
        <w:t xml:space="preserve"> </w:t>
      </w:r>
      <w:r>
        <w:t xml:space="preserve">R package</w:t>
      </w:r>
      <w:r>
        <w:t xml:space="preserve"> </w:t>
      </w:r>
      <w:r>
        <w:t xml:space="preserve">(Marcon et al., 2015)</w:t>
      </w:r>
      <w:r>
        <w:t xml:space="preserve">.</w:t>
      </w:r>
      <w:r>
        <w:t xml:space="preserve"> </w:t>
      </w:r>
      <w:r>
        <w:t xml:space="preserve">The</w:t>
      </w:r>
      <w:r>
        <w:t xml:space="preserve"> </w:t>
      </w:r>
      <w:r>
        <w:rPr>
          <w:i/>
          <w:iCs/>
        </w:rPr>
        <w:t xml:space="preserve">M</w:t>
      </w:r>
      <w:r>
        <w:t xml:space="preserve"> </w:t>
      </w:r>
      <w:r>
        <w:t xml:space="preserve">function was at first introduced in the field of economics and</w:t>
      </w:r>
      <w:r>
        <w:t xml:space="preserve"> </w:t>
      </w:r>
      <w:r>
        <w:t xml:space="preserve">Marcon &amp; Puech (2010)</w:t>
      </w:r>
      <w:r>
        <w:t xml:space="preserve"> </w:t>
      </w:r>
      <w:r>
        <w:t xml:space="preserve">proved that</w:t>
      </w:r>
      <w:r>
        <w:t xml:space="preserve"> </w:t>
      </w:r>
      <w:r>
        <w:rPr>
          <w:i/>
          <w:iCs/>
        </w:rPr>
        <w:t xml:space="preserve">M</w:t>
      </w:r>
      <w:r>
        <w:t xml:space="preserve"> </w:t>
      </w:r>
      <w:r>
        <w:t xml:space="preserve">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w:t>
      </w:r>
      <w:r>
        <w:t xml:space="preserve"> </w:t>
      </w:r>
      <w:r>
        <w:rPr>
          <w:i/>
          <w:iCs/>
        </w:rPr>
        <w:t xml:space="preserve">M</w:t>
      </w:r>
      <w:r>
        <w:t xml:space="preserve"> </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
          <w:iCs/>
        </w:rPr>
        <w:t xml:space="preserve">M</w:t>
      </w:r>
      <w:r>
        <w:t xml:space="preserve"> </w:t>
      </w:r>
      <w:r>
        <w:t xml:space="preserve">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
          <w:iCs/>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
          <w:iCs/>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the</w:t>
      </w:r>
      <w:r>
        <w:t xml:space="preserve"> </w:t>
      </w:r>
      <w:r>
        <w:rPr>
          <w:i/>
          <w:iCs/>
        </w:rPr>
        <w:t xml:space="preserve">M</w:t>
      </w:r>
      <w:r>
        <w:t xml:space="preserve"> </w:t>
      </w:r>
      <w:r>
        <w:t xml:space="preserve">function it as follows.</w:t>
      </w:r>
      <w:r>
        <w:t xml:space="preserve"> </w:t>
      </w:r>
      <w:r>
        <w:t xml:space="preserve">It compares the relative proportion of entities of interest up to each distance</w:t>
      </w:r>
      <w:r>
        <w:t xml:space="preserve"> </w:t>
      </w:r>
      <m:oMath>
        <m:r>
          <m:t>r</m:t>
        </m:r>
      </m:oMath>
      <w:r>
        <w:t xml:space="preserve"> </w:t>
      </w:r>
      <w:r>
        <w:t xml:space="preserve">to the same ratio but defined over the entire territory under study.</w:t>
      </w:r>
      <w:r>
        <w:t xml:space="preserve"> </w:t>
      </w:r>
      <w:r>
        <w:t xml:space="preserve">In the present article, we only consider the intra-type version of</w:t>
      </w:r>
      <w:r>
        <w:t xml:space="preserve"> </w:t>
      </w:r>
      <w:r>
        <w:rPr>
          <w:i/>
          <w:iCs/>
        </w:rPr>
        <w:t xml:space="preserve">M</w:t>
      </w:r>
      <w:r>
        <w:t xml:space="preserve">: we study the spatial structure of neighbouring points of the same type (called</w:t>
      </w:r>
      <w:r>
        <w:t xml:space="preserve"> </w:t>
      </w:r>
      <w:r>
        <w:rPr>
          <w:i/>
          <w:iCs/>
        </w:rPr>
        <w:t xml:space="preserve">points of interest</w:t>
      </w:r>
      <w:r>
        <w:t xml:space="preserve">) as the point at the centre of the disks of radius</w:t>
      </w:r>
      <w:r>
        <w:t xml:space="preserve"> </w:t>
      </w:r>
      <m:oMath>
        <m:r>
          <m:t>r</m:t>
        </m:r>
      </m:oMath>
      <w:r>
        <w:t xml:space="preserve">.</w:t>
      </w:r>
      <w:r>
        <w:t xml:space="preserve"> </w:t>
      </w:r>
      <w:r>
        <w:t xml:space="preserve">In a mathematical terms, let us denote:</w:t>
      </w:r>
    </w:p>
    <w:p>
      <w:pPr>
        <w:pStyle w:val="Compact"/>
        <w:numPr>
          <w:ilvl w:val="0"/>
          <w:numId w:val="1002"/>
        </w:numPr>
      </w:pPr>
      <m:oMath>
        <m:sSubSup>
          <m:e>
            <m:r>
              <m:t>x</m:t>
            </m:r>
          </m:e>
          <m:sub>
            <m:r>
              <m:t>i</m:t>
            </m:r>
          </m:sub>
          <m:sup>
            <m:r>
              <m:t>s</m:t>
            </m:r>
          </m:sup>
        </m:sSubSup>
      </m:oMath>
      <w:r>
        <w:t xml:space="preserve">, the geolocalised position of point</w:t>
      </w:r>
      <w:r>
        <w:t xml:space="preserve"> </w:t>
      </w:r>
      <m:oMath>
        <m:r>
          <m:t>i</m:t>
        </m:r>
      </m:oMath>
      <w:r>
        <w:t xml:space="preserve"> </w:t>
      </w:r>
      <w:r>
        <w:t xml:space="preserve">of the reference type</w:t>
      </w:r>
      <w:r>
        <w:t xml:space="preserve"> </w:t>
      </w:r>
      <m:oMath>
        <m:r>
          <m:t>s</m:t>
        </m:r>
      </m:oMath>
      <w:r>
        <w:t xml:space="preserve">, at the centre of the disk (the point at which the neighbourhood is to be analyzed),</w:t>
      </w:r>
    </w:p>
    <w:p>
      <w:pPr>
        <w:pStyle w:val="Compact"/>
        <w:numPr>
          <w:ilvl w:val="0"/>
          <w:numId w:val="1002"/>
        </w:numPr>
      </w:pPr>
      <m:oMath>
        <m:sSubSup>
          <m:e>
            <m:r>
              <m:t>x</m:t>
            </m:r>
          </m:e>
          <m:sub>
            <m:r>
              <m:t>j</m:t>
            </m:r>
          </m:sub>
          <m:sup>
            <m:r>
              <m:t>s</m:t>
            </m:r>
          </m:sup>
        </m:sSubSup>
      </m:oMath>
      <w:r>
        <w:t xml:space="preserve">, the geolocalised position of a neighbour of interest</w:t>
      </w:r>
      <w:r>
        <w:t xml:space="preserve"> </w:t>
      </w:r>
      <m:oMath>
        <m:r>
          <m:t>j</m:t>
        </m:r>
      </m:oMath>
      <w:r>
        <w:t xml:space="preserve"> </w:t>
      </w:r>
      <w:r>
        <w:t xml:space="preserve">of the same type as point</w:t>
      </w:r>
      <w:r>
        <w:t xml:space="preserve"> </w:t>
      </w:r>
      <m:oMath>
        <m:r>
          <m:t>i</m:t>
        </m:r>
      </m:oMath>
      <w:r>
        <w:t xml:space="preserve">,</w:t>
      </w:r>
    </w:p>
    <w:p>
      <w:pPr>
        <w:pStyle w:val="Compact"/>
        <w:numPr>
          <w:ilvl w:val="0"/>
          <w:numId w:val="1002"/>
        </w:numPr>
      </w:pPr>
      <m:oMath>
        <m:sSub>
          <m:e>
            <m:r>
              <m:t>x</m:t>
            </m:r>
          </m:e>
          <m:sub>
            <m:r>
              <m:t>j</m:t>
            </m:r>
          </m:sub>
        </m:sSub>
      </m:oMath>
      <w:r>
        <w:t xml:space="preserve">, the geolocalised of a neighbour</w:t>
      </w:r>
      <w:r>
        <w:t xml:space="preserve"> </w:t>
      </w:r>
      <m:oMath>
        <m:r>
          <m:t>j</m:t>
        </m:r>
      </m:oMath>
      <w:r>
        <w:t xml:space="preserve"> </w:t>
      </w:r>
      <w:r>
        <w:t xml:space="preserve">of</w:t>
      </w:r>
      <w:r>
        <w:t xml:space="preserve"> </w:t>
      </w:r>
      <m:oMath>
        <m:r>
          <m:t>i</m:t>
        </m:r>
      </m:oMath>
      <w:r>
        <w:t xml:space="preserve">, whatever its type,</w:t>
      </w:r>
    </w:p>
    <w:p>
      <w:pPr>
        <w:pStyle w:val="Compact"/>
        <w:numPr>
          <w:ilvl w:val="0"/>
          <w:numId w:val="1002"/>
        </w:numPr>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w:t>
      </w:r>
      <w:r>
        <w:t xml:space="preserve"> </w:t>
      </w:r>
      <m:oMath>
        <m:r>
          <m:t>j</m:t>
        </m:r>
      </m:oMath>
      <w:r>
        <w:t xml:space="preserve"> </w:t>
      </w:r>
      <w:r>
        <w:t xml:space="preserve">of</w:t>
      </w:r>
      <w:r>
        <w:t xml:space="preserve"> </w:t>
      </w:r>
      <m:oMath>
        <m:r>
          <m:t>i</m:t>
        </m:r>
      </m:oMath>
      <w:r>
        <w:t xml:space="preserve">.</w:t>
      </w:r>
    </w:p>
    <w:p>
      <w:pPr>
        <w:pStyle w:val="Compact"/>
        <w:numPr>
          <w:ilvl w:val="0"/>
          <w:numId w:val="1002"/>
        </w:numPr>
      </w:pPr>
      <m:oMath>
        <m:sSub>
          <m:e>
            <m:r>
              <m:t>W</m:t>
            </m:r>
          </m:e>
          <m:sub>
            <m:r>
              <m:t>s</m:t>
            </m:r>
          </m:sub>
        </m:sSub>
      </m:oMath>
      <w:r>
        <w:t xml:space="preserve">, the total weight of the points</w:t>
      </w:r>
      <w:r>
        <w:t xml:space="preserve"> </w:t>
      </w:r>
      <m:oMath>
        <m:sSubSup>
          <m:e>
            <m:r>
              <m:t>x</m:t>
            </m:r>
          </m:e>
          <m:sub>
            <m:r>
              <m:t>j</m:t>
            </m:r>
          </m:sub>
          <m:sup>
            <m:r>
              <m:t>s</m:t>
            </m:r>
          </m:sup>
        </m:sSubSup>
      </m:oMath>
      <w:r>
        <w:t xml:space="preserve">,</w:t>
      </w:r>
    </w:p>
    <w:p>
      <w:pPr>
        <w:pStyle w:val="Compact"/>
        <w:numPr>
          <w:ilvl w:val="0"/>
          <w:numId w:val="1002"/>
        </w:numPr>
      </w:pPr>
      <m:oMath>
        <m:r>
          <m:t>W</m:t>
        </m:r>
      </m:oMath>
      <w:r>
        <w:t xml:space="preserve">, the total weight of all points of the dataset, whatever their type,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w:t>
      </w:r>
      <w:r>
        <w:t xml:space="preserve">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w:t>
      </w:r>
      <w:r>
        <w:t xml:space="preserve"> </w:t>
      </w:r>
      <m:oMath>
        <m:r>
          <m:t>r</m:t>
        </m:r>
      </m:oMath>
      <w:r>
        <w:t xml:space="preserve">, 0 otherwise.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w:t>
      </w:r>
      <w:r>
        <w:t xml:space="preserve"> </w:t>
      </w:r>
      <w:r>
        <w:rPr>
          <w:i/>
          <w:iCs/>
        </w:rPr>
        <w:t xml:space="preserve">M</w:t>
      </w:r>
      <w:r>
        <w:t xml:space="preserve"> </w:t>
      </w:r>
      <w:r>
        <w:t xml:space="preserve">is equal to 1, whatever the distance considered.</w:t>
      </w:r>
      <w:r>
        <w:t xml:space="preserve"> </w:t>
      </w:r>
      <w:r>
        <w:t xml:space="preserve">It means that for any given radius</w:t>
      </w:r>
      <w:r>
        <w:t xml:space="preserve"> </w:t>
      </w:r>
      <w:r>
        <w:rPr>
          <w:i/>
          <w:iCs/>
        </w:rPr>
        <w:t xml:space="preserve">r</w:t>
      </w:r>
      <w:r>
        <w:t xml:space="preserve">:</w:t>
      </w:r>
    </w:p>
    <w:p>
      <w:pPr>
        <w:pStyle w:val="Compact"/>
        <w:numPr>
          <w:ilvl w:val="0"/>
          <w:numId w:val="1003"/>
        </w:numPr>
      </w:pPr>
      <w:r>
        <w:t xml:space="preserve">if the estimated</w:t>
      </w:r>
      <w:r>
        <w:t xml:space="preserve"> </w:t>
      </w:r>
      <m:oMath>
        <m:r>
          <m:t>M</m:t>
        </m:r>
      </m:oMath>
      <w:r>
        <w:t xml:space="preserve"> </w:t>
      </w:r>
      <w:r>
        <w:t xml:space="preserve">result is above 1, the local value of the ratio is greater than the global one:,a spatial concentration of entities of type</w:t>
      </w:r>
      <w:r>
        <w:t xml:space="preserve"> </w:t>
      </w:r>
      <m:oMath>
        <m:r>
          <m:t>s</m:t>
        </m:r>
      </m:oMath>
      <w:r>
        <w:t xml:space="preserve"> </w:t>
      </w:r>
      <w:r>
        <w:t xml:space="preserve">within that radius is thus detected.</w:t>
      </w:r>
    </w:p>
    <w:p>
      <w:pPr>
        <w:pStyle w:val="Compact"/>
        <w:numPr>
          <w:ilvl w:val="0"/>
          <w:numId w:val="1003"/>
        </w:numPr>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
          <w:iCs/>
        </w:rPr>
        <w:t xml:space="preserve">M</w:t>
      </w:r>
      <w:r>
        <w:t xml:space="preserve">).</w:t>
      </w:r>
      <w:r>
        <w:t xml:space="preserve"> </w:t>
      </w:r>
      <w:r>
        <w:t xml:space="preserve">Third, the package</w:t>
      </w:r>
      <w:r>
        <w:t xml:space="preserve"> </w:t>
      </w:r>
      <w:r>
        <w:rPr>
          <w:i/>
          <w:iCs/>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w:t>
      </w:r>
      <w:r>
        <w:t xml:space="preserve"> </w:t>
      </w:r>
      <w:r>
        <w:rPr>
          <w:i/>
          <w:iCs/>
        </w:rPr>
        <w:t xml:space="preserve">M</w:t>
      </w:r>
      <w:r>
        <w:t xml:space="preserve"> </w:t>
      </w:r>
      <w:r>
        <w:t xml:space="preserve">but the</w:t>
      </w:r>
      <w:r>
        <w:t xml:space="preserve"> </w:t>
      </w:r>
      <w:r>
        <w:rPr>
          <w:i/>
          <w:iCs/>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‘Case’</w:t>
      </w:r>
      <w:r>
        <w:t xml:space="preserve"> </w:t>
      </w:r>
      <w:r>
        <w:t xml:space="preserve">or</w:t>
      </w:r>
      <w:r>
        <w:t xml:space="preserve"> </w:t>
      </w:r>
      <w:r>
        <w:t xml:space="preserve">‘Control’</w:t>
      </w:r>
      <w:r>
        <w:t xml:space="preserve">.</w:t>
      </w:r>
      <w:r>
        <w:t xml:space="preserve"> </w:t>
      </w:r>
      <w:r>
        <w:t xml:space="preserve">95% of points are</w:t>
      </w:r>
      <w:r>
        <w:t xml:space="preserve"> </w:t>
      </w:r>
      <w:r>
        <w:t xml:space="preserve">‘Controls’</w:t>
      </w:r>
      <w:r>
        <w:t xml:space="preserve">.</w:t>
      </w:r>
      <w:r>
        <w:t xml:space="preserve"> </w:t>
      </w:r>
      <w:r>
        <w:t xml:space="preserve">5% are</w:t>
      </w:r>
      <w:r>
        <w:t xml:space="preserve"> </w:t>
      </w:r>
      <w:r>
        <w:t xml:space="preserve">‘Cases’</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SourceCode"/>
      </w:pPr>
      <w:r>
        <w:rPr>
          <w:rStyle w:val="VerbatimChar"/>
        </w:rPr>
        <w:t xml:space="preserve">## Generating 100 simulations by evaluating </w:t>
      </w:r>
      <w:r>
        <w:br/>
      </w:r>
      <w:r>
        <w:rPr>
          <w:rStyle w:val="VerbatimChar"/>
        </w:rPr>
        <w:t xml:space="preserve">## expression  ...</w:t>
      </w:r>
      <w:r>
        <w:br/>
      </w:r>
      <w:r>
        <w:rPr>
          <w:rStyle w:val="VerbatimChar"/>
        </w:rPr>
        <w:t xml:space="preserve">## 1, 2, 3, 4, 5, 6, 7, 8, 9, 10, 11, 12,</w:t>
      </w:r>
      <w:r>
        <w:br/>
      </w:r>
      <w:r>
        <w:rPr>
          <w:rStyle w:val="VerbatimChar"/>
        </w:rPr>
        <w:t xml:space="preserve">## 13, 14, 15, 16, 17, 18, 19, 20, 21, 22, 23, 24,</w:t>
      </w:r>
      <w:r>
        <w:br/>
      </w:r>
      <w:r>
        <w:rPr>
          <w:rStyle w:val="VerbatimChar"/>
        </w:rPr>
        <w:t xml:space="preserve">## 25, 26, 27, 28, 29, 30, 31, 32, 33, 34, 35, 36,</w:t>
      </w:r>
      <w:r>
        <w:br/>
      </w:r>
      <w:r>
        <w:rPr>
          <w:rStyle w:val="VerbatimChar"/>
        </w:rPr>
        <w:t xml:space="preserve">## 37, 38, 39, 40, 41, 42, 43, 44, 45, 46, 47, 48,</w:t>
      </w:r>
      <w:r>
        <w:br/>
      </w:r>
      <w:r>
        <w:rPr>
          <w:rStyle w:val="VerbatimChar"/>
        </w:rPr>
        <w:t xml:space="preserve">## 49, 50, 51, 52, 53, 54, 55, 56, 57, 58, 59, 60,</w:t>
      </w:r>
      <w:r>
        <w:br/>
      </w:r>
      <w:r>
        <w:rPr>
          <w:rStyle w:val="VerbatimChar"/>
        </w:rPr>
        <w:t xml:space="preserve">## 61, 62, 63, 64, 65, 66, 67, 68, 69, 70, 71, 72,</w:t>
      </w:r>
      <w:r>
        <w:br/>
      </w:r>
      <w:r>
        <w:rPr>
          <w:rStyle w:val="VerbatimChar"/>
        </w:rPr>
        <w:t xml:space="preserve">## 73, 74, 75, 76, 77, 78, 79, 80, 81, 82, 83, 84,</w:t>
      </w:r>
      <w:r>
        <w:br/>
      </w:r>
      <w:r>
        <w:rPr>
          <w:rStyle w:val="VerbatimChar"/>
        </w:rPr>
        <w:t xml:space="preserve">## 85, 86, 87, 88, 89, 90, 91, 92, 93, 94, 95, 96,</w:t>
      </w:r>
      <w:r>
        <w:br/>
      </w:r>
      <w:r>
        <w:rPr>
          <w:rStyle w:val="VerbatimChar"/>
        </w:rPr>
        <w:t xml:space="preserve">## 97, 98, 99, </w:t>
      </w:r>
      <w:r>
        <w:br/>
      </w:r>
      <w:r>
        <w:rPr>
          <w:rStyle w:val="VerbatimChar"/>
        </w:rPr>
        <w:t xml:space="preserve">## 100.</w:t>
      </w:r>
      <w:r>
        <w:br/>
      </w:r>
      <w:r>
        <w:rPr>
          <w:rStyle w:val="VerbatimChar"/>
        </w:rPr>
        <w:t xml:space="preserve">## </w:t>
      </w:r>
      <w:r>
        <w:br/>
      </w:r>
      <w:r>
        <w:rPr>
          <w:rStyle w:val="VerbatimChar"/>
        </w:rPr>
        <w:t xml:space="preserve">## Done.</w:t>
      </w: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1.7).</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13 milliseconds for estimating the</w:t>
      </w:r>
      <w:r>
        <w:t xml:space="preserve"> </w:t>
      </w:r>
      <w:r>
        <w:rPr>
          <w:i/>
          <w:iCs/>
        </w:rPr>
        <w:t xml:space="preserve">M</w:t>
      </w:r>
      <w:r>
        <w:t xml:space="preserve"> </w:t>
      </w:r>
      <w:r>
        <w:t xml:space="preserve">function from a set of 5,000 points or 22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9"/>
    <w:bookmarkEnd w:id="60"/>
    <w:bookmarkStart w:id="61" w:name="discussion-and-conclusion"/>
    <w:p>
      <w:pPr>
        <w:pStyle w:val="Titre1"/>
      </w:pPr>
      <w:r>
        <w:t xml:space="preserve">Discussion and conclusion</w:t>
      </w:r>
    </w:p>
    <w:p>
      <w:pPr>
        <w:pStyle w:val="FirstParagraph"/>
      </w:pPr>
      <w:r>
        <w:t xml:space="preserve">Our results are in line with</w:t>
      </w:r>
      <w:r>
        <w:t xml:space="preserve"> </w:t>
      </w:r>
      <w:r>
        <w:t xml:space="preserve">Tidu et al. (2024)</w:t>
      </w:r>
      <w:r>
        <w:t xml:space="preserve">’s article, which mentions strong correlations between</w:t>
      </w:r>
      <w:r>
        <w:t xml:space="preserve"> </w:t>
      </w:r>
      <w:r>
        <w:rPr>
          <w:i/>
          <w:iCs/>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p>
    <w:p>
      <w:pPr>
        <w:pStyle w:val="Corpsdetexte"/>
      </w:pPr>
      <w:r>
        <w:t xml:space="preserve">The computation burden of estimating the</w:t>
      </w:r>
      <w:r>
        <w:t xml:space="preserve"> </w:t>
      </w:r>
      <w:r>
        <w:rPr>
          <w:i/>
          <w:iCs/>
        </w:rPr>
        <w:t xml:space="preserve">M</w:t>
      </w:r>
      <w:r>
        <w:t xml:space="preserve"> </w:t>
      </w:r>
      <w:r>
        <w:t xml:space="preserve">function on large datasets may be an issue.</w:t>
      </w:r>
      <w:r>
        <w:t xml:space="preserve"> </w:t>
      </w:r>
      <w:r>
        <w:t xml:space="preserve">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
          <w:bCs/>
        </w:rPr>
        <w:t xml:space="preserve">exact calculation is fully justified for data of the order of</w:t>
      </w:r>
      <w:r>
        <w:rPr>
          <w:b/>
          <w:bCs/>
        </w:rPr>
        <w:t xml:space="preserve"> </w:t>
      </w:r>
      <m:oMath>
        <m:sSup>
          <m:e>
            <m:r>
              <m:t>10</m:t>
            </m:r>
          </m:e>
          <m:sup>
            <m:r>
              <m:t>5</m:t>
            </m:r>
          </m:sup>
        </m:sSup>
      </m:oMath>
      <w:r>
        <w:rPr>
          <w:b/>
          <w:bCs/>
        </w:rPr>
        <w:t xml:space="preserve"> </w:t>
      </w:r>
      <w:r>
        <w:rPr>
          <w:b/>
          <w:bCs/>
        </w:rPr>
        <w:t xml:space="preserve">points</w:t>
      </w:r>
      <w:r>
        <w:t xml:space="preserve">: a few hours are enough to calculate confidence intervals.</w:t>
      </w:r>
      <w:r>
        <w:t xml:space="preserve"> </w:t>
      </w:r>
      <w:r>
        <w:t xml:space="preserve">Since parallelizing the simulations is offered with no effort by the</w:t>
      </w:r>
      <w:r>
        <w:t xml:space="preserve"> </w:t>
      </w:r>
      <w:r>
        <w:rPr>
          <w:i/>
          <w:iCs/>
        </w:rPr>
        <w:t xml:space="preserve">dbmss</w:t>
      </w:r>
      <w:r>
        <w:t xml:space="preserve"> </w:t>
      </w:r>
      <w:r>
        <w:t xml:space="preserve">package, this time can be reduced by a factor depending on the available hardware, say 2 to 6 with modern multicore CPU’s.</w:t>
      </w:r>
    </w:p>
    <w:p>
      <w:pPr>
        <w:pStyle w:val="Corpsdetexte"/>
      </w:pP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So,</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the scale of the grid must be fine enough to be informational at small distances</w:t>
      </w:r>
      <w:r>
        <w:t xml:space="preserve">.</w:t>
      </w:r>
      <w:r>
        <w:t xml:space="preserve"> </w:t>
      </w:r>
      <w:r>
        <w:t xml:space="preserve">Choosing the approximation scale is a tradeoff between accuracy, i.e. a small distance threshold above which results are accurate, and speed with a coarse grid.</w:t>
      </w:r>
    </w:p>
    <w:bookmarkEnd w:id="61"/>
    <w:bookmarkStart w:id="63" w:name="appendix"/>
    <w:p>
      <w:pPr>
        <w:pStyle w:val="Titre1"/>
      </w:pPr>
      <w:r>
        <w:t xml:space="preserve">Appendix</w:t>
      </w:r>
    </w:p>
    <w:p>
      <w:pPr>
        <w:pStyle w:val="FirstParagraph"/>
      </w:pPr>
      <w:r>
        <w:t xml:space="preserve">R code is available at the following address:</w:t>
      </w:r>
      <w:r>
        <w:t xml:space="preserve"> </w:t>
      </w:r>
      <w:hyperlink r:id="rId62">
        <w:r>
          <w:rPr>
            <w:rStyle w:val="Lienhypertexte"/>
          </w:rPr>
          <w:t xml:space="preserve">https://ericmarcon.github.io/MLargeDataSets/Appendix.pdf</w:t>
        </w:r>
      </w:hyperlink>
    </w:p>
    <w:bookmarkEnd w:id="63"/>
    <w:bookmarkStart w:id="64" w:name="acknowledgements"/>
    <w:p>
      <w:pPr>
        <w:pStyle w:val="Titre1"/>
      </w:pPr>
      <w:r>
        <w:t xml:space="preserve">Acknowledgements</w:t>
      </w:r>
    </w:p>
    <w:p>
      <w:pPr>
        <w:pStyle w:val="FirstParagraph"/>
      </w:pPr>
      <w:r>
        <w:t xml:space="preserve">Eric Marcon benefited from an</w:t>
      </w:r>
      <w:r>
        <w:t xml:space="preserve"> </w:t>
      </w:r>
      <w:r>
        <w:t xml:space="preserve">‘Investissement d’Avenir’</w:t>
      </w:r>
      <w:r>
        <w:t xml:space="preserve"> </w:t>
      </w:r>
      <w:r>
        <w:t xml:space="preserve">grant managed by the Agence Nationale de la Recherche (LABEX CEBA, ref. ANR-10-LBX-25) and Florence Puech gratefully acknowledges financial support from INRAE.</w:t>
      </w:r>
    </w:p>
    <w:bookmarkEnd w:id="64"/>
    <w:bookmarkStart w:id="114" w:name="references"/>
    <w:p>
      <w:pPr>
        <w:pStyle w:val="Titre1"/>
      </w:pPr>
      <w:r>
        <w:t xml:space="preserve">References</w:t>
      </w:r>
    </w:p>
    <w:bookmarkStart w:id="113" w:name="refs"/>
    <w:bookmarkStart w:id="65"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5"/>
    <w:bookmarkStart w:id="66" w:name="ref-Arbia2021"/>
    <w:p>
      <w:pPr>
        <w:pStyle w:val="Bibliographie"/>
      </w:pPr>
      <w:r>
        <w:t xml:space="preserve">Arbia, G., Espa, G., &amp; Giuliani, D. (2021).</w:t>
      </w:r>
      <w:r>
        <w:t xml:space="preserve"> </w:t>
      </w:r>
      <w:r>
        <w:rPr>
          <w:i/>
          <w:iCs/>
        </w:rPr>
        <w:t xml:space="preserve">Spatial microeconometrics</w:t>
      </w:r>
      <w:r>
        <w:t xml:space="preserve">. Routledge, Taylor &amp; Francis Group.</w:t>
      </w:r>
    </w:p>
    <w:bookmarkEnd w:id="66"/>
    <w:bookmarkStart w:id="67" w:name="ref-Baddeley2016"/>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7"/>
    <w:bookmarkStart w:id="69"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
          <w:iCs/>
        </w:rPr>
        <w:t xml:space="preserve">Journal of Economic Surveys</w:t>
      </w:r>
      <w:r>
        <w:t xml:space="preserve">,</w:t>
      </w:r>
      <w:r>
        <w:t xml:space="preserve"> </w:t>
      </w:r>
      <w:r>
        <w:rPr>
          <w:i/>
          <w:iCs/>
        </w:rPr>
        <w:t xml:space="preserve">33</w:t>
      </w:r>
      <w:r>
        <w:t xml:space="preserve">(1), 60–84.</w:t>
      </w:r>
      <w:r>
        <w:t xml:space="preserve"> </w:t>
      </w:r>
      <w:hyperlink r:id="rId68">
        <w:r>
          <w:rPr>
            <w:rStyle w:val="Lienhypertexte"/>
          </w:rPr>
          <w:t xml:space="preserve">https://doi.org/10.1111/joes.12267</w:t>
        </w:r>
      </w:hyperlink>
    </w:p>
    <w:bookmarkEnd w:id="69"/>
    <w:bookmarkStart w:id="71"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
          <w:iCs/>
        </w:rPr>
        <w:t xml:space="preserve">Papers in Regional Science</w:t>
      </w:r>
      <w:r>
        <w:t xml:space="preserve">,</w:t>
      </w:r>
      <w:r>
        <w:t xml:space="preserve"> </w:t>
      </w:r>
      <w:r>
        <w:rPr>
          <w:i/>
          <w:iCs/>
        </w:rPr>
        <w:t xml:space="preserve">98</w:t>
      </w:r>
      <w:r>
        <w:t xml:space="preserve">(1), 409–432.</w:t>
      </w:r>
      <w:r>
        <w:t xml:space="preserve"> </w:t>
      </w:r>
      <w:hyperlink r:id="rId70">
        <w:r>
          <w:rPr>
            <w:rStyle w:val="Lienhypertexte"/>
          </w:rPr>
          <w:t xml:space="preserve">https://doi.org/10.1111/pirs.12330</w:t>
        </w:r>
      </w:hyperlink>
    </w:p>
    <w:bookmarkEnd w:id="71"/>
    <w:bookmarkStart w:id="72" w:name="ref-Cressie1993"/>
    <w:p>
      <w:pPr>
        <w:pStyle w:val="Bibliographie"/>
      </w:pPr>
      <w:r>
        <w:t xml:space="preserve">Cressie, N. A. (1993).</w:t>
      </w:r>
      <w:r>
        <w:t xml:space="preserve"> </w:t>
      </w:r>
      <w:r>
        <w:rPr>
          <w:i/>
          <w:iCs/>
        </w:rPr>
        <w:t xml:space="preserve">Statistics for spatial data</w:t>
      </w:r>
      <w:r>
        <w:t xml:space="preserve">. John Wiley &amp; Sons.</w:t>
      </w:r>
    </w:p>
    <w:bookmarkEnd w:id="72"/>
    <w:bookmarkStart w:id="74"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73">
        <w:r>
          <w:rPr>
            <w:rStyle w:val="Lienhypertexte"/>
          </w:rPr>
          <w:t xml:space="preserve">https://doi.org/10.1111/j.1467-9663.2008.00465.x</w:t>
        </w:r>
      </w:hyperlink>
    </w:p>
    <w:bookmarkEnd w:id="74"/>
    <w:bookmarkStart w:id="76"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75">
        <w:r>
          <w:rPr>
            <w:rStyle w:val="Lienhypertexte"/>
          </w:rPr>
          <w:t xml:space="preserve">https://doi.org/10.1016/j.stem.2021.03.014</w:t>
        </w:r>
      </w:hyperlink>
    </w:p>
    <w:bookmarkEnd w:id="76"/>
    <w:bookmarkStart w:id="78"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77">
        <w:r>
          <w:rPr>
            <w:rStyle w:val="Lienhypertexte"/>
          </w:rPr>
          <w:t xml:space="preserve">https://doi.org/10.1111/0034-6527.00362</w:t>
        </w:r>
      </w:hyperlink>
    </w:p>
    <w:bookmarkEnd w:id="78"/>
    <w:bookmarkStart w:id="80" w:name="ref-Fernandez-Gonzalez2005"/>
    <w:p>
      <w:pPr>
        <w:pStyle w:val="Bibliographie"/>
      </w:pPr>
      <w:r>
        <w:t xml:space="preserve">Fernandez-Gonzalez, R., Barcellos-Hoff, M. H., &amp; Ortiz-de-Solorzano, C. (2005). A tool for the quantitative spatial analysis of complex cellular systems.</w:t>
      </w:r>
      <w:r>
        <w:t xml:space="preserve"> </w:t>
      </w:r>
      <w:r>
        <w:rPr>
          <w:i/>
          <w:iCs/>
        </w:rPr>
        <w:t xml:space="preserve">IEEE Transactions on Image Processing</w:t>
      </w:r>
      <w:r>
        <w:t xml:space="preserve">,</w:t>
      </w:r>
      <w:r>
        <w:t xml:space="preserve"> </w:t>
      </w:r>
      <w:r>
        <w:rPr>
          <w:i/>
          <w:iCs/>
        </w:rPr>
        <w:t xml:space="preserve">14</w:t>
      </w:r>
      <w:r>
        <w:t xml:space="preserve">(9), 1300–1313.</w:t>
      </w:r>
      <w:r>
        <w:t xml:space="preserve"> </w:t>
      </w:r>
      <w:hyperlink r:id="rId79">
        <w:r>
          <w:rPr>
            <w:rStyle w:val="Lienhypertexte"/>
          </w:rPr>
          <w:t xml:space="preserve">https://doi.org/10.1109/tip.2005.852466</w:t>
        </w:r>
      </w:hyperlink>
    </w:p>
    <w:bookmarkEnd w:id="80"/>
    <w:bookmarkStart w:id="82" w:name="ref-Jensen2011"/>
    <w:p>
      <w:pPr>
        <w:pStyle w:val="Bibliographie"/>
      </w:pPr>
      <w:r>
        <w:t xml:space="preserve">Jensen, P., &amp; Michel, J. (2011). Measuring spatial dispersion: Exact results on the variance of random spatial distributions.</w:t>
      </w:r>
      <w:r>
        <w:t xml:space="preserve"> </w:t>
      </w:r>
      <w:r>
        <w:rPr>
          <w:i/>
          <w:iCs/>
        </w:rPr>
        <w:t xml:space="preserve">The Annals of Regional Science</w:t>
      </w:r>
      <w:r>
        <w:t xml:space="preserve">,</w:t>
      </w:r>
      <w:r>
        <w:t xml:space="preserve"> </w:t>
      </w:r>
      <w:r>
        <w:rPr>
          <w:i/>
          <w:iCs/>
        </w:rPr>
        <w:t xml:space="preserve">47</w:t>
      </w:r>
      <w:r>
        <w:t xml:space="preserve">(1), 81–110.</w:t>
      </w:r>
      <w:r>
        <w:t xml:space="preserve"> </w:t>
      </w:r>
      <w:hyperlink r:id="rId81">
        <w:r>
          <w:rPr>
            <w:rStyle w:val="Lienhypertexte"/>
          </w:rPr>
          <w:t xml:space="preserve">https://doi.org/10.1007/s00168-009-0342-3</w:t>
        </w:r>
      </w:hyperlink>
    </w:p>
    <w:bookmarkEnd w:id="82"/>
    <w:bookmarkStart w:id="84"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
          <w:iCs/>
        </w:rPr>
        <w:t xml:space="preserve">Geographical Analysis</w:t>
      </w:r>
      <w:r>
        <w:t xml:space="preserve">,</w:t>
      </w:r>
      <w:r>
        <w:t xml:space="preserve"> </w:t>
      </w:r>
      <w:r>
        <w:rPr>
          <w:i/>
          <w:iCs/>
        </w:rPr>
        <w:t xml:space="preserve">49</w:t>
      </w:r>
      <w:r>
        <w:t xml:space="preserve">(2), 199–214.</w:t>
      </w:r>
      <w:r>
        <w:t xml:space="preserve"> </w:t>
      </w:r>
      <w:hyperlink r:id="rId83">
        <w:r>
          <w:rPr>
            <w:rStyle w:val="Lienhypertexte"/>
          </w:rPr>
          <w:t xml:space="preserve">https://doi.org/10.1111/gean.12120</w:t>
        </w:r>
      </w:hyperlink>
    </w:p>
    <w:bookmarkEnd w:id="84"/>
    <w:bookmarkStart w:id="86"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85">
        <w:r>
          <w:rPr>
            <w:rStyle w:val="Lienhypertexte"/>
          </w:rPr>
          <w:t xml:space="preserve">https://doi.org/10.1371/journal.pone.0021830</w:t>
        </w:r>
      </w:hyperlink>
    </w:p>
    <w:bookmarkEnd w:id="86"/>
    <w:bookmarkStart w:id="88"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87">
        <w:r>
          <w:rPr>
            <w:rStyle w:val="Lienhypertexte"/>
          </w:rPr>
          <w:t xml:space="preserve">https://doi.org/10.1093/jeg/lbg016</w:t>
        </w:r>
      </w:hyperlink>
    </w:p>
    <w:bookmarkEnd w:id="88"/>
    <w:bookmarkStart w:id="90"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89">
        <w:r>
          <w:rPr>
            <w:rStyle w:val="Lienhypertexte"/>
          </w:rPr>
          <w:t xml:space="preserve">https://doi.org/10.1093/jeg/lbp056</w:t>
        </w:r>
      </w:hyperlink>
    </w:p>
    <w:bookmarkEnd w:id="90"/>
    <w:bookmarkStart w:id="92"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91">
        <w:r>
          <w:rPr>
            <w:rStyle w:val="Lienhypertexte"/>
          </w:rPr>
          <w:t xml:space="preserve">https://doi.org/10.1016/j.regsciurbeco.2016.10.004</w:t>
        </w:r>
      </w:hyperlink>
    </w:p>
    <w:bookmarkEnd w:id="92"/>
    <w:bookmarkStart w:id="94" w:name="ref-Marcon2012"/>
    <w:p>
      <w:pPr>
        <w:pStyle w:val="Bibliographie"/>
      </w:pPr>
      <w:r>
        <w:t xml:space="preserve">Marcon, E., Puech, F., &amp; Traissac, S. (2012). Characterizing the relative spatial structure of point patterns.</w:t>
      </w:r>
      <w:r>
        <w:t xml:space="preserve"> </w:t>
      </w:r>
      <w:r>
        <w:rPr>
          <w:i/>
          <w:iCs/>
        </w:rPr>
        <w:t xml:space="preserve">International Journal of Ecology</w:t>
      </w:r>
      <w:r>
        <w:t xml:space="preserve">,</w:t>
      </w:r>
      <w:r>
        <w:t xml:space="preserve"> </w:t>
      </w:r>
      <w:r>
        <w:rPr>
          <w:i/>
          <w:iCs/>
        </w:rPr>
        <w:t xml:space="preserve">2012</w:t>
      </w:r>
      <w:r>
        <w:t xml:space="preserve">(Article ID 619281), 11.</w:t>
      </w:r>
      <w:r>
        <w:t xml:space="preserve"> </w:t>
      </w:r>
      <w:hyperlink r:id="rId93">
        <w:r>
          <w:rPr>
            <w:rStyle w:val="Lienhypertexte"/>
          </w:rPr>
          <w:t xml:space="preserve">https://doi.org/10.1155/2012/619281</w:t>
        </w:r>
      </w:hyperlink>
    </w:p>
    <w:bookmarkEnd w:id="94"/>
    <w:bookmarkStart w:id="96"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w:t>
      </w:r>
      <w:r>
        <w:t xml:space="preserve">,</w:t>
      </w:r>
      <w:r>
        <w:t xml:space="preserve"> </w:t>
      </w:r>
      <w:r>
        <w:rPr>
          <w:i/>
          <w:iCs/>
        </w:rPr>
        <w:t xml:space="preserve">67</w:t>
      </w:r>
      <w:r>
        <w:t xml:space="preserve">(3), 1–15.</w:t>
      </w:r>
      <w:r>
        <w:t xml:space="preserve"> </w:t>
      </w:r>
      <w:hyperlink r:id="rId95">
        <w:r>
          <w:rPr>
            <w:rStyle w:val="Lienhypertexte"/>
          </w:rPr>
          <w:t xml:space="preserve">https://doi.org/10.18637/jss.v067.c03</w:t>
        </w:r>
      </w:hyperlink>
    </w:p>
    <w:bookmarkEnd w:id="96"/>
    <w:bookmarkStart w:id="97"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97"/>
    <w:bookmarkStart w:id="98" w:name="ref-Moller2004"/>
    <w:p>
      <w:pPr>
        <w:pStyle w:val="Bibliographie"/>
      </w:pPr>
      <w:r>
        <w:t xml:space="preserve">Møller, J., &amp; Waagepetersen, R. P. (2004). Statistical inference and simulation for spatial point processes. In</w:t>
      </w:r>
      <w:r>
        <w:t xml:space="preserve"> </w:t>
      </w:r>
      <w:r>
        <w:rPr>
          <w:i/>
          <w:iCs/>
        </w:rPr>
        <w:t xml:space="preserve">Monographs on statistics and applies probabilities</w:t>
      </w:r>
      <w:r>
        <w:t xml:space="preserve"> </w:t>
      </w:r>
      <w:r>
        <w:t xml:space="preserve">(Vol. 100).</w:t>
      </w:r>
      <w:r>
        <w:t xml:space="preserve"> </w:t>
      </w:r>
      <w:r>
        <w:t xml:space="preserve">Chapman and Hall</w:t>
      </w:r>
      <w:r>
        <w:t xml:space="preserve">.</w:t>
      </w:r>
    </w:p>
    <w:bookmarkEnd w:id="98"/>
    <w:bookmarkStart w:id="100"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
          <w:iCs/>
        </w:rPr>
        <w:t xml:space="preserve">Classification and data mining</w:t>
      </w:r>
      <w:r>
        <w:t xml:space="preserve"> </w:t>
      </w:r>
      <w:r>
        <w:t xml:space="preserve">(pp. 271–278). Springer Berlin Heidelberg.</w:t>
      </w:r>
      <w:r>
        <w:t xml:space="preserve"> </w:t>
      </w:r>
      <w:hyperlink r:id="rId99">
        <w:r>
          <w:rPr>
            <w:rStyle w:val="Lienhypertexte"/>
          </w:rPr>
          <w:t xml:space="preserve">https://doi.org/10.1007/978-3-642-28894-4_32</w:t>
        </w:r>
      </w:hyperlink>
    </w:p>
    <w:bookmarkEnd w:id="100"/>
    <w:bookmarkStart w:id="101" w:name="ref-Openshaw1979"/>
    <w:p>
      <w:pPr>
        <w:pStyle w:val="Bibliographie"/>
      </w:pPr>
      <w:r>
        <w:t xml:space="preserve">Openshaw, S., &amp; Taylor, P. J. (1979). A million or so correlation coefficients: Three experiments on the modifiable areal unit problem. In N. Wrigley (Ed.),</w:t>
      </w:r>
      <w:r>
        <w:t xml:space="preserve"> </w:t>
      </w:r>
      <w:r>
        <w:rPr>
          <w:i/>
          <w:iCs/>
        </w:rPr>
        <w:t xml:space="preserve">Statistical applications in the spatial sciences</w:t>
      </w:r>
      <w:r>
        <w:t xml:space="preserve"> </w:t>
      </w:r>
      <w:r>
        <w:t xml:space="preserve">(pp. 127–144). Pion.</w:t>
      </w:r>
    </w:p>
    <w:bookmarkEnd w:id="101"/>
    <w:bookmarkStart w:id="102"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102"/>
    <w:bookmarkStart w:id="104" w:name="ref-Ripley1976"/>
    <w:p>
      <w:pPr>
        <w:pStyle w:val="Bibliographie"/>
      </w:pPr>
      <w:r>
        <w:t xml:space="preserve">Ripley, B. D. (1976). The foundations of stochastic geometry.</w:t>
      </w:r>
      <w:r>
        <w:t xml:space="preserve"> </w:t>
      </w:r>
      <w:r>
        <w:rPr>
          <w:i/>
          <w:iCs/>
        </w:rPr>
        <w:t xml:space="preserve">Annals of Probability</w:t>
      </w:r>
      <w:r>
        <w:t xml:space="preserve">,</w:t>
      </w:r>
      <w:r>
        <w:t xml:space="preserve"> </w:t>
      </w:r>
      <w:r>
        <w:rPr>
          <w:i/>
          <w:iCs/>
        </w:rPr>
        <w:t xml:space="preserve">4</w:t>
      </w:r>
      <w:r>
        <w:t xml:space="preserve">(6), 995–998.</w:t>
      </w:r>
      <w:r>
        <w:t xml:space="preserve"> </w:t>
      </w:r>
      <w:hyperlink r:id="rId103">
        <w:r>
          <w:rPr>
            <w:rStyle w:val="Lienhypertexte"/>
          </w:rPr>
          <w:t xml:space="preserve">https://www.jstor.org/stable/2242958</w:t>
        </w:r>
      </w:hyperlink>
    </w:p>
    <w:bookmarkEnd w:id="104"/>
    <w:bookmarkStart w:id="106" w:name="ref-Ripley1977"/>
    <w:p>
      <w:pPr>
        <w:pStyle w:val="Bibliographie"/>
      </w:pPr>
      <w:r>
        <w:t xml:space="preserve">Ripley, B. D. (1977). Modelling spatial patterns.</w:t>
      </w:r>
      <w:r>
        <w:t xml:space="preserve"> </w:t>
      </w:r>
      <w:r>
        <w:rPr>
          <w:i/>
          <w:iCs/>
        </w:rPr>
        <w:t xml:space="preserve">Journal of the Royal Statistical Society: Series B (Statistical Methodology)</w:t>
      </w:r>
      <w:r>
        <w:t xml:space="preserve">,</w:t>
      </w:r>
      <w:r>
        <w:t xml:space="preserve"> </w:t>
      </w:r>
      <w:r>
        <w:rPr>
          <w:i/>
          <w:iCs/>
        </w:rPr>
        <w:t xml:space="preserve">39</w:t>
      </w:r>
      <w:r>
        <w:t xml:space="preserve">(2), 172–212.</w:t>
      </w:r>
      <w:r>
        <w:t xml:space="preserve"> </w:t>
      </w:r>
      <w:hyperlink r:id="rId105">
        <w:r>
          <w:rPr>
            <w:rStyle w:val="Lienhypertexte"/>
          </w:rPr>
          <w:t xml:space="preserve">https://www.jstor.org/stable/2984796</w:t>
        </w:r>
      </w:hyperlink>
    </w:p>
    <w:bookmarkEnd w:id="106"/>
    <w:bookmarkStart w:id="108"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107">
        <w:r>
          <w:rPr>
            <w:rStyle w:val="Lienhypertexte"/>
          </w:rPr>
          <w:t xml:space="preserve">https://doi.org/10.1007/s10109-015-0219-1</w:t>
        </w:r>
      </w:hyperlink>
    </w:p>
    <w:bookmarkEnd w:id="108"/>
    <w:bookmarkStart w:id="110"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109">
        <w:r>
          <w:rPr>
            <w:rStyle w:val="Lienhypertexte"/>
          </w:rPr>
          <w:t xml:space="preserve">https://doi.org/10.1111/j.1538-4632.1998.tb00388.x</w:t>
        </w:r>
      </w:hyperlink>
    </w:p>
    <w:bookmarkEnd w:id="110"/>
    <w:bookmarkStart w:id="112"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
          <w:iCs/>
        </w:rPr>
        <w:t xml:space="preserve">M</w:t>
      </w:r>
      <w:r>
        <w:t xml:space="preserve">-</w:t>
      </w:r>
      <w:r>
        <w:t xml:space="preserve">Index</w:t>
      </w:r>
      <w:r>
        <w:t xml:space="preserve">.</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111">
        <w:r>
          <w:rPr>
            <w:rStyle w:val="Lienhypertexte"/>
          </w:rPr>
          <w:t xml:space="preserve">https://doi.org/10.1111/gean.12381</w:t>
        </w:r>
      </w:hyperlink>
    </w:p>
    <w:bookmarkEnd w:id="112"/>
    <w:bookmarkEnd w:id="113"/>
    <w:bookmarkEnd w:id="114"/>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16" Target="https://EricMarcon.github.io/MLargeDataSets/" TargetMode="External" /><Relationship Type="http://schemas.openxmlformats.org/officeDocument/2006/relationships/hyperlink" Id="rId99" Target="https://doi.org/10.1007/978-3-642-28894-4_32" TargetMode="External" /><Relationship Type="http://schemas.openxmlformats.org/officeDocument/2006/relationships/hyperlink" Id="rId81" Target="https://doi.org/10.1007/s00168-009-0342-3" TargetMode="External" /><Relationship Type="http://schemas.openxmlformats.org/officeDocument/2006/relationships/hyperlink" Id="rId107" Target="https://doi.org/10.1007/s10109-015-0219-1" TargetMode="External" /><Relationship Type="http://schemas.openxmlformats.org/officeDocument/2006/relationships/hyperlink" Id="rId91" Target="https://doi.org/10.1016/j.regsciurbeco.2016.10.004" TargetMode="External" /><Relationship Type="http://schemas.openxmlformats.org/officeDocument/2006/relationships/hyperlink" Id="rId75" Target="https://doi.org/10.1016/j.stem.2021.03.014" TargetMode="External" /><Relationship Type="http://schemas.openxmlformats.org/officeDocument/2006/relationships/hyperlink" Id="rId87" Target="https://doi.org/10.1093/jeg/lbg016" TargetMode="External" /><Relationship Type="http://schemas.openxmlformats.org/officeDocument/2006/relationships/hyperlink" Id="rId89" Target="https://doi.org/10.1093/jeg/lbp056" TargetMode="External" /><Relationship Type="http://schemas.openxmlformats.org/officeDocument/2006/relationships/hyperlink" Id="rId79" Target="https://doi.org/10.1109/tip.2005.852466" TargetMode="External" /><Relationship Type="http://schemas.openxmlformats.org/officeDocument/2006/relationships/hyperlink" Id="rId77" Target="https://doi.org/10.1111/0034-6527.00362" TargetMode="External" /><Relationship Type="http://schemas.openxmlformats.org/officeDocument/2006/relationships/hyperlink" Id="rId83" Target="https://doi.org/10.1111/gean.12120" TargetMode="External" /><Relationship Type="http://schemas.openxmlformats.org/officeDocument/2006/relationships/hyperlink" Id="rId111" Target="https://doi.org/10.1111/gean.12381" TargetMode="External" /><Relationship Type="http://schemas.openxmlformats.org/officeDocument/2006/relationships/hyperlink" Id="rId73" Target="https://doi.org/10.1111/j.1467-9663.2008.00465.x" TargetMode="External" /><Relationship Type="http://schemas.openxmlformats.org/officeDocument/2006/relationships/hyperlink" Id="rId109" Target="https://doi.org/10.1111/j.1538-4632.1998.tb00388.x" TargetMode="External" /><Relationship Type="http://schemas.openxmlformats.org/officeDocument/2006/relationships/hyperlink" Id="rId68" Target="https://doi.org/10.1111/joes.12267" TargetMode="External" /><Relationship Type="http://schemas.openxmlformats.org/officeDocument/2006/relationships/hyperlink" Id="rId70" Target="https://doi.org/10.1111/pirs.12330" TargetMode="External" /><Relationship Type="http://schemas.openxmlformats.org/officeDocument/2006/relationships/hyperlink" Id="rId93" Target="https://doi.org/10.1155/2012/619281" TargetMode="External" /><Relationship Type="http://schemas.openxmlformats.org/officeDocument/2006/relationships/hyperlink" Id="rId85" Target="https://doi.org/10.1371/journal.pone.0021830" TargetMode="External" /><Relationship Type="http://schemas.openxmlformats.org/officeDocument/2006/relationships/hyperlink" Id="rId95"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103" Target="https://www.jstor.org/stable/2242958" TargetMode="External" /><Relationship Type="http://schemas.openxmlformats.org/officeDocument/2006/relationships/hyperlink" Id="rId105" Target="https://www.jstor.org/stable/2984796" TargetMode="External" /><Relationship Type="http://schemas.openxmlformats.org/officeDocument/2006/relationships/hyperlink" Id="rId115" Target="mailto:eric.marcon@agroparistech.fr" TargetMode="External" /></Relationships>
</file>

<file path=word/_rels/footnotes.xml.rels><?xml version="1.0" encoding="UTF-8"?><Relationships xmlns="http://schemas.openxmlformats.org/package/2006/relationships"><Relationship Type="http://schemas.openxmlformats.org/officeDocument/2006/relationships/hyperlink" Id="rId116" Target="https://EricMarcon.github.io/MLargeDataSets/" TargetMode="External" /><Relationship Type="http://schemas.openxmlformats.org/officeDocument/2006/relationships/hyperlink" Id="rId99" Target="https://doi.org/10.1007/978-3-642-28894-4_32" TargetMode="External" /><Relationship Type="http://schemas.openxmlformats.org/officeDocument/2006/relationships/hyperlink" Id="rId81" Target="https://doi.org/10.1007/s00168-009-0342-3" TargetMode="External" /><Relationship Type="http://schemas.openxmlformats.org/officeDocument/2006/relationships/hyperlink" Id="rId107" Target="https://doi.org/10.1007/s10109-015-0219-1" TargetMode="External" /><Relationship Type="http://schemas.openxmlformats.org/officeDocument/2006/relationships/hyperlink" Id="rId91" Target="https://doi.org/10.1016/j.regsciurbeco.2016.10.004" TargetMode="External" /><Relationship Type="http://schemas.openxmlformats.org/officeDocument/2006/relationships/hyperlink" Id="rId75" Target="https://doi.org/10.1016/j.stem.2021.03.014" TargetMode="External" /><Relationship Type="http://schemas.openxmlformats.org/officeDocument/2006/relationships/hyperlink" Id="rId87" Target="https://doi.org/10.1093/jeg/lbg016" TargetMode="External" /><Relationship Type="http://schemas.openxmlformats.org/officeDocument/2006/relationships/hyperlink" Id="rId89" Target="https://doi.org/10.1093/jeg/lbp056" TargetMode="External" /><Relationship Type="http://schemas.openxmlformats.org/officeDocument/2006/relationships/hyperlink" Id="rId79" Target="https://doi.org/10.1109/tip.2005.852466" TargetMode="External" /><Relationship Type="http://schemas.openxmlformats.org/officeDocument/2006/relationships/hyperlink" Id="rId77" Target="https://doi.org/10.1111/0034-6527.00362" TargetMode="External" /><Relationship Type="http://schemas.openxmlformats.org/officeDocument/2006/relationships/hyperlink" Id="rId83" Target="https://doi.org/10.1111/gean.12120" TargetMode="External" /><Relationship Type="http://schemas.openxmlformats.org/officeDocument/2006/relationships/hyperlink" Id="rId111" Target="https://doi.org/10.1111/gean.12381" TargetMode="External" /><Relationship Type="http://schemas.openxmlformats.org/officeDocument/2006/relationships/hyperlink" Id="rId73" Target="https://doi.org/10.1111/j.1467-9663.2008.00465.x" TargetMode="External" /><Relationship Type="http://schemas.openxmlformats.org/officeDocument/2006/relationships/hyperlink" Id="rId109" Target="https://doi.org/10.1111/j.1538-4632.1998.tb00388.x" TargetMode="External" /><Relationship Type="http://schemas.openxmlformats.org/officeDocument/2006/relationships/hyperlink" Id="rId68" Target="https://doi.org/10.1111/joes.12267" TargetMode="External" /><Relationship Type="http://schemas.openxmlformats.org/officeDocument/2006/relationships/hyperlink" Id="rId70" Target="https://doi.org/10.1111/pirs.12330" TargetMode="External" /><Relationship Type="http://schemas.openxmlformats.org/officeDocument/2006/relationships/hyperlink" Id="rId93" Target="https://doi.org/10.1155/2012/619281" TargetMode="External" /><Relationship Type="http://schemas.openxmlformats.org/officeDocument/2006/relationships/hyperlink" Id="rId85" Target="https://doi.org/10.1371/journal.pone.0021830" TargetMode="External" /><Relationship Type="http://schemas.openxmlformats.org/officeDocument/2006/relationships/hyperlink" Id="rId95"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103" Target="https://www.jstor.org/stable/2242958" TargetMode="External" /><Relationship Type="http://schemas.openxmlformats.org/officeDocument/2006/relationships/hyperlink" Id="rId105" Target="https://www.jstor.org/stable/2984796" TargetMode="External" /><Relationship Type="http://schemas.openxmlformats.org/officeDocument/2006/relationships/hyperlink" Id="rId115" Target="mailto:eric.marcon@agroparistech.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2025-05-23T17:03:53Z</dcterms:created>
  <dcterms:modified xsi:type="dcterms:W3CDTF">2025-05-23T17:03:53Z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 Tidu et al. (2024) highlight the qualities of the M function (Marcon &amp; Puech, 2010), a relative distance-based measure. Tidu et al. (2024) also express reservations about M for the computation times required. In our article, we propose a methodological work that seeks to specify the processing of large spatialized datasets with the M function by using R software. Two avenues are being explored to determine the computational performance of M. A precise evaluation of the computational time and memory requirements for geolocalised data is at first carried out using the dbmss package in R (Marcon et al., 2015) by means of performance tests. Then, as suggested by Tidu et al. (2024), approximating the geographical positions of the entities analysed is considered. The extent of the deterioration in the estimate of M 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datasets taking it into account. The R code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May 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May 23</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