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0.png" ContentType="image/png"/>
  <Override PartName="/word/media/rId28.png" ContentType="image/png"/>
  <Override PartName="/word/media/rId46.png" ContentType="image/png"/>
  <Override PartName="/word/media/rId57.png" ContentType="image/png"/>
  <Override PartName="/word/media/rId3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14,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r>
        <w:t xml:space="preserve"> </w:t>
      </w:r>
      <w:r>
        <w:t xml:space="preserve">This result encouraged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layout of the article is mentioned here.</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4"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3"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2">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benchmarks distributions, possible weighting of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 is an opportunity to provide detailed locational analysis of the economic activities</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3"/>
    <w:bookmarkEnd w:id="14"/>
    <w:bookmarkStart w:id="44"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5"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 </w:t>
      </w:r>
      <w:r>
        <w:rPr>
          <w:i/>
          <w:iCs/>
        </w:rPr>
        <w:t xml:space="preserve">K</w:t>
      </w:r>
      <w:r>
        <w:rPr>
          <w:i/>
          <w:iCs/>
          <w:vertAlign w:val="subscript"/>
        </w:rPr>
        <w:t xml:space="preserve">d</w:t>
      </w:r>
      <w:r>
        <w:t xml:space="preserve"> </w:t>
      </w:r>
      <w:r>
        <w:t xml:space="preserve">function</w:t>
      </w:r>
      <w:r>
        <w:t xml:space="preserve"> </w:t>
      </w:r>
      <w:r>
        <w:t xml:space="preserve">(Chain et al., 2019)</w:t>
      </w:r>
      <w:r>
        <w:t xml:space="preserve">.</w:t>
      </w:r>
    </w:p>
    <w:bookmarkEnd w:id="15"/>
    <w:bookmarkStart w:id="16"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6"/>
    <w:bookmarkStart w:id="27"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1"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8" name="Picture"/>
            <a:graphic>
              <a:graphicData uri="http://schemas.openxmlformats.org/drawingml/2006/picture">
                <pic:pic>
                  <pic:nvPicPr>
                    <pic:cNvPr descr="Rev1_files/Rev1_files/figure-docx/XMaternFig-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0" w:name="fig:XMaternFig"/>
      <w:bookmarkEnd w:id="20"/>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1"/>
    <w:bookmarkStart w:id="26"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3" name="Picture"/>
            <a:graphic>
              <a:graphicData uri="http://schemas.openxmlformats.org/drawingml/2006/picture">
                <pic:pic>
                  <pic:nvPicPr>
                    <pic:cNvPr descr="Rev1_files/Rev1_files/figure-docx/GroupedFig-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5" w:name="fig:GroupedFig"/>
      <w:bookmarkEnd w:id="25"/>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6"/>
    <w:bookmarkEnd w:id="27"/>
    <w:bookmarkStart w:id="34"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2"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9" name="Picture"/>
            <a:graphic>
              <a:graphicData uri="http://schemas.openxmlformats.org/drawingml/2006/picture">
                <pic:pic>
                  <pic:nvPicPr>
                    <pic:cNvPr descr="Rev1_files/Rev1_files/figure-docx/MFig-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1" w:name="fig:MFig"/>
      <w:bookmarkEnd w:id="31"/>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2"/>
    <w:bookmarkStart w:id="33"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3"/>
    <w:bookmarkEnd w:id="34"/>
    <w:bookmarkStart w:id="41"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9"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2.41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9"/>
    <w:bookmarkStart w:id="40"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0"/>
    <w:bookmarkEnd w:id="41"/>
    <w:bookmarkStart w:id="43"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2"/>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10 minutes of computing time.</w:t>
      </w:r>
      <w:r>
        <w:t xml:space="preserve"> </w:t>
      </w:r>
      <w:r>
        <w:t xml:space="preserve">Accordingly, 1,000 simulations would take around 7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3"/>
    <w:bookmarkEnd w:id="44"/>
    <w:bookmarkStart w:id="64"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6" w:name="X0753af3c90ef97e0dbdd6986d87aa2ba2526083"/>
    <w:p>
      <w:pPr>
        <w:pStyle w:val="Titre2"/>
      </w:pPr>
      <w:r>
        <w:t xml:space="preserve">First strategy: Approximating the position of points</w:t>
      </w:r>
    </w:p>
    <w:bookmarkStart w:id="45"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5"/>
    <w:bookmarkStart w:id="54"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7" name="Picture"/>
            <a:graphic>
              <a:graphicData uri="http://schemas.openxmlformats.org/drawingml/2006/picture">
                <pic:pic>
                  <pic:nvPicPr>
                    <pic:cNvPr descr="Rev1_files/Rev1_files/figure-docx/MapproxFig-1.png" id="48" name="Picture"/>
                    <pic:cNvPicPr>
                      <a:picLocks noChangeArrowheads="1" noChangeAspect="1"/>
                    </pic:cNvPicPr>
                  </pic:nvPicPr>
                  <pic:blipFill>
                    <a:blip r:embed="rId4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9" w:name="fig:MapproxFig"/>
      <w:bookmarkEnd w:id="49"/>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1" name="Picture"/>
            <a:graphic>
              <a:graphicData uri="http://schemas.openxmlformats.org/drawingml/2006/picture">
                <pic:pic>
                  <pic:nvPicPr>
                    <pic:cNvPr descr="Rev1_files/Rev1_files/figure-docx/MCompareFig-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3" w:name="fig:MCompareFig"/>
      <w:bookmarkEnd w:id="53"/>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is worth mentioning.</w:t>
      </w:r>
      <w:r>
        <w:t xml:space="preserve"> </w:t>
      </w:r>
      <w:r>
        <w:t xml:space="preserve">They 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important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bookmarkEnd w:id="54"/>
    <w:bookmarkStart w:id="55"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siubstantially.</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wa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The interest of DBMs is actually to avoid this issue by preserving the information contained in the location of points.</w:t>
      </w:r>
    </w:p>
    <w:bookmarkEnd w:id="55"/>
    <w:bookmarkEnd w:id="56"/>
    <w:bookmarkStart w:id="63"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8" name="Picture"/>
            <a:graphic>
              <a:graphicData uri="http://schemas.openxmlformats.org/drawingml/2006/picture">
                <pic:pic>
                  <pic:nvPicPr>
                    <pic:cNvPr descr="Rev1_files/Rev1_files/figure-docx/MthinFig-1.png" id="59" name="Picture"/>
                    <pic:cNvPicPr>
                      <a:picLocks noChangeArrowheads="1" noChangeAspect="1"/>
                    </pic:cNvPicPr>
                  </pic:nvPicPr>
                  <pic:blipFill>
                    <a:blip r:embed="rId5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0" w:name="fig:MthinFig"/>
      <w:bookmarkEnd w:id="60"/>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1"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1"/>
    <w:bookmarkStart w:id="62"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the </w:t>
      </w:r>
      <w:r>
        <w:rPr>
          <w:i/>
          <w:iCs/>
        </w:rPr>
        <w:t xml:space="preserve">D</w:t>
      </w:r>
      <w:r>
        <w:t xml:space="preserve"> </w:t>
      </w:r>
      <w:r>
        <w:t xml:space="preserve">function</w:t>
      </w:r>
      <w:r>
        <w:t xml:space="preserve"> </w:t>
      </w:r>
      <w:r>
        <w:t xml:space="preserve">(Diggle &amp; Chetwynd, 1991)</w:t>
      </w:r>
      <w:r>
        <w:t xml:space="preserve">, which is a topographic DBM that allows controlling for heterogeneity of space.</w:t>
      </w:r>
      <w:r>
        <w:t xml:space="preserve"> </w:t>
      </w:r>
      <w:r>
        <w:t xml:space="preserve">They 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All DBMs considered here actually have this property: the </w:t>
      </w:r>
      <w:r>
        <w:rPr>
          <w:i/>
          <w:iCs/>
        </w:rPr>
        <w:t xml:space="preserve">K</w:t>
      </w:r>
      <w:r>
        <w:rPr>
          <w:i/>
          <w:iCs/>
          <w:vertAlign w:val="subscript"/>
        </w:rPr>
        <w:t xml:space="preserve">d</w:t>
      </w:r>
      <w:r>
        <w:t xml:space="preserve"> </w:t>
      </w:r>
      <w:r>
        <w:t xml:space="preserve">function is simply the unnormalized probability density to find a neighbor at distance </w:t>
      </w:r>
      <m:oMath>
        <m:r>
          <m:t>r</m:t>
        </m:r>
      </m:oMath>
      <w:r>
        <w:t xml:space="preserve">; as such, it does not change when some points, thus some distances, are deleted uniformly.</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2"/>
    <w:bookmarkEnd w:id="63"/>
    <w:bookmarkEnd w:id="64"/>
    <w:bookmarkStart w:id="65" w:name="conclusion"/>
    <w:p>
      <w:pPr>
        <w:pStyle w:val="Titre1"/>
      </w:pPr>
      <w:r>
        <w:t xml:space="preserve">Conclusion</w:t>
      </w:r>
    </w:p>
    <w:p>
      <w:pPr>
        <w:pStyle w:val="FirstParagraph"/>
      </w:pPr>
      <w:r>
        <w:t xml:space="preserve">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p>
    <w:p>
      <w:pPr>
        <w:pStyle w:val="Corpsdetexte"/>
      </w:pPr>
      <w:r>
        <w:t xml:space="preserve">It was out of the scope of this study to test the performance of other DBMs, but general conclusions can be drawn.</w:t>
      </w:r>
      <w:r>
        <w:t xml:space="preserve"> </w:t>
      </w:r>
      <w:r>
        <w:t xml:space="preserve">Whatever the function and the software, memory issues might appear to store the distances between points, whose number increases as the square of the number of points.</w:t>
      </w:r>
      <w:r>
        <w:t xml:space="preserve"> </w:t>
      </w:r>
      <w:r>
        <w:t xml:space="preserve">Only the </w:t>
      </w:r>
      <w:r>
        <w:rPr>
          <w:i/>
          <w:iCs/>
        </w:rPr>
        <w:t xml:space="preserve">K</w:t>
      </w:r>
      <w:r>
        <w:rPr>
          <w:i/>
          <w:iCs/>
          <w:vertAlign w:val="subscript"/>
        </w:rPr>
        <w:t xml:space="preserve">d</w:t>
      </w:r>
      <w:r>
        <w:t xml:space="preserve"> function requires to store such a distance matrix.</w:t>
      </w:r>
      <w:r>
        <w:t xml:space="preserve"> </w:t>
      </w:r>
      <w:r>
        <w:t xml:space="preserve">Scholl &amp; Brenner (2015)</w:t>
      </w:r>
      <w:r>
        <w:t xml:space="preserve"> </w:t>
      </w:r>
      <w:r>
        <w:t xml:space="preserve">proposed approximating the distances between pairs of entities by grouping them into classes.</w:t>
      </w:r>
      <w:r>
        <w:t xml:space="preserve"> </w:t>
      </w:r>
      <w:r>
        <w:t xml:space="preserve">This method, implemented in the</w:t>
      </w:r>
      <w:r>
        <w:t xml:space="preserve"> </w:t>
      </w:r>
      <w:r>
        <w:rPr>
          <w:i/>
          <w:iCs/>
        </w:rPr>
        <w:t xml:space="preserve">dbmss</w:t>
      </w:r>
      <w:r>
        <w:t xml:space="preserve"> </w:t>
      </w:r>
      <w:r>
        <w:t xml:space="preserve">package, provides a considerable gain in memory use with minor loss of accuracy, but no gain in computing time since all distances must be calculated before being grouped.</w:t>
      </w:r>
      <w:r>
        <w:t xml:space="preserve"> </w:t>
      </w:r>
      <w:r>
        <w:t xml:space="preserve">Commuting time is thus the most general issue.</w:t>
      </w:r>
      <w:r>
        <w:t xml:space="preserve"> </w:t>
      </w:r>
      <w:r>
        <w:t xml:space="preserve">The computing time of the </w:t>
      </w:r>
      <w:r>
        <w:rPr>
          <w:i/>
          <w:iCs/>
        </w:rPr>
        <w:t xml:space="preserve">K</w:t>
      </w:r>
      <w:r>
        <w:rPr>
          <w:i/>
          <w:iCs/>
          <w:vertAlign w:val="subscript"/>
        </w:rPr>
        <w:t xml:space="preserve">d</w:t>
      </w:r>
      <w:r>
        <w:t xml:space="preserve"> function is similar to that of </w:t>
      </w:r>
      <w:r>
        <w:rPr>
          <w:i/>
          <w:iCs/>
        </w:rPr>
        <w:t xml:space="preserve">M</w:t>
      </w:r>
      <w:r>
        <w:t xml:space="preserve"> </w:t>
      </w:r>
      <w:r>
        <w:t xml:space="preserve">while the </w:t>
      </w:r>
      <w:r>
        <w:rPr>
          <w:i/>
          <w:iCs/>
        </w:rPr>
        <w:t xml:space="preserve">D</w:t>
      </w:r>
      <w:r>
        <w:t xml:space="preserve"> </w:t>
      </w:r>
      <w:r>
        <w:t xml:space="preserve">function is far slower (figure in the appendix): topographic DBMs require correcting edge effects</w:t>
      </w:r>
      <w:r>
        <w:t xml:space="preserve"> </w:t>
      </w:r>
      <w:r>
        <w:t xml:space="preserve">(Marcon &amp; Puech, 2017)</w:t>
      </w:r>
      <w:r>
        <w:t xml:space="preserve">, which rely on complex calculation.</w:t>
      </w:r>
      <w:r>
        <w:t xml:space="preserve"> </w:t>
      </w:r>
      <w:r>
        <w:t xml:space="preserve">Our recommendations about thinning apply to all of them.</w:t>
      </w:r>
    </w:p>
    <w:bookmarkEnd w:id="65"/>
    <w:bookmarkStart w:id="67" w:name="appendix"/>
    <w:p>
      <w:pPr>
        <w:pStyle w:val="Titre1"/>
      </w:pPr>
      <w:r>
        <w:t xml:space="preserve">Appendix</w:t>
      </w:r>
    </w:p>
    <w:p>
      <w:pPr>
        <w:pStyle w:val="FirstParagraph"/>
      </w:pPr>
      <w:r>
        <w:t xml:space="preserve">R code is available at the following address:</w:t>
      </w:r>
      <w:r>
        <w:t xml:space="preserve"> </w:t>
      </w:r>
      <w:hyperlink r:id="rId66">
        <w:r>
          <w:rPr>
            <w:rStyle w:val="Lienhypertexte"/>
          </w:rPr>
          <w:t xml:space="preserve">https://ericmarcon.github.io/MLargeDataSets/Appendix.pdf</w:t>
        </w:r>
      </w:hyperlink>
    </w:p>
    <w:bookmarkEnd w:id="67"/>
    <w:bookmarkStart w:id="68"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8"/>
    <w:bookmarkStart w:id="149" w:name="references"/>
    <w:p>
      <w:pPr>
        <w:pStyle w:val="Titre1"/>
      </w:pPr>
      <w:r>
        <w:t xml:space="preserve">References</w:t>
      </w:r>
    </w:p>
    <w:bookmarkStart w:id="148" w:name="refs"/>
    <w:bookmarkStart w:id="69"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9"/>
    <w:bookmarkStart w:id="70"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0"/>
    <w:bookmarkStart w:id="71"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1"/>
    <w:bookmarkStart w:id="73"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2">
        <w:r>
          <w:rPr>
            <w:rStyle w:val="Lienhypertexte"/>
          </w:rPr>
          <w:t xml:space="preserve">https://doi.org/10.1080/17421772.2017.1297479</w:t>
        </w:r>
      </w:hyperlink>
    </w:p>
    <w:bookmarkEnd w:id="73"/>
    <w:bookmarkStart w:id="74"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4"/>
    <w:bookmarkStart w:id="75"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5"/>
    <w:bookmarkStart w:id="76"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6"/>
    <w:bookmarkStart w:id="77"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7"/>
    <w:bookmarkStart w:id="78"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8"/>
    <w:bookmarkStart w:id="79"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9"/>
    <w:bookmarkStart w:id="80"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0"/>
    <w:bookmarkStart w:id="81"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1"/>
    <w:bookmarkStart w:id="82"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2"/>
    <w:bookmarkStart w:id="83" w:name="ref-Chain2019"/>
    <w:p>
      <w:pPr>
        <w:pStyle w:val="Bibliographie"/>
      </w:pPr>
      <w:r>
        <w:t xml:space="preserve">Chain, C. P., Santos, A. C. D., Castro, L. G. D., &amp; Prado, J. W. D. (2019).</w:t>
      </w:r>
      <w:r>
        <w:t xml:space="preserve"> </w:t>
      </w:r>
      <w:r>
        <w:t xml:space="preserve">Bibliometric Analysis of the Quantitative Methods Applied to the Measurement of Industrial Clusters</w:t>
      </w:r>
      <w:r>
        <w:t xml:space="preserve">.</w:t>
      </w:r>
      <w:r>
        <w:t xml:space="preserve"> </w:t>
      </w:r>
      <w:r>
        <w:rPr>
          <w:i/>
          <w:iCs/>
        </w:rPr>
        <w:t xml:space="preserve">Journal of Economic Surveys</w:t>
      </w:r>
      <w:r>
        <w:t xml:space="preserve">,</w:t>
      </w:r>
      <w:r>
        <w:t xml:space="preserve"> </w:t>
      </w:r>
      <w:r>
        <w:rPr>
          <w:i/>
          <w:iCs/>
        </w:rPr>
        <w:t xml:space="preserve">33</w:t>
      </w:r>
      <w:r>
        <w:t xml:space="preserve">(1), 60–84.</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40" w:name="ref-Scholl2013"/>
    <w:p>
      <w:pPr>
        <w:pStyle w:val="Bibliographie"/>
      </w:pPr>
      <w:r>
        <w:t xml:space="preserve">Scholl, T., &amp; Brenner, T. (2015).</w:t>
      </w:r>
      <w:r>
        <w:t xml:space="preserve"> </w:t>
      </w:r>
      <w:r>
        <w:t xml:space="preserve">Optimizing Distance-Based Methods for Large Data Sets</w:t>
      </w:r>
      <w:r>
        <w:t xml:space="preserve">.</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9">
        <w:r>
          <w:rPr>
            <w:rStyle w:val="Lienhypertexte"/>
          </w:rPr>
          <w:t xml:space="preserve">https://doi.org/10.1007/s10109-015-0219-1</w:t>
        </w:r>
      </w:hyperlink>
    </w:p>
    <w:bookmarkEnd w:id="140"/>
    <w:bookmarkStart w:id="141"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1"/>
    <w:bookmarkStart w:id="142"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2"/>
    <w:bookmarkStart w:id="143"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3"/>
    <w:bookmarkStart w:id="144"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4"/>
    <w:bookmarkStart w:id="145" w:name="ref-Theil1967"/>
    <w:p>
      <w:pPr>
        <w:pStyle w:val="Bibliographie"/>
      </w:pPr>
      <w:r>
        <w:t xml:space="preserve">Theil, H. (1967).</w:t>
      </w:r>
      <w:r>
        <w:t xml:space="preserve"> </w:t>
      </w:r>
      <w:r>
        <w:rPr>
          <w:i/>
          <w:iCs/>
        </w:rPr>
        <w:t xml:space="preserve">Economics and Information Theory</w:t>
      </w:r>
      <w:r>
        <w:t xml:space="preserve">. Rand McNally &amp; Company.</w:t>
      </w:r>
    </w:p>
    <w:bookmarkEnd w:id="145"/>
    <w:bookmarkStart w:id="147"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6">
        <w:r>
          <w:rPr>
            <w:rStyle w:val="Lienhypertexte"/>
          </w:rPr>
          <w:t xml:space="preserve">https://doi.org/10.1111/gean.12381</w:t>
        </w:r>
      </w:hyperlink>
    </w:p>
    <w:bookmarkEnd w:id="147"/>
    <w:bookmarkEnd w:id="148"/>
    <w:bookmarkEnd w:id="149"/>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4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0" Target="media/rId50.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7" Target="media/rId57.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hyperlink" Id="rId151"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139" Target="https://doi.org/10.1007/s10109-015-0219-1" TargetMode="External" /><Relationship Type="http://schemas.openxmlformats.org/officeDocument/2006/relationships/hyperlink" Id="rId93"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6"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pdf" TargetMode="External" /><Relationship Type="http://schemas.openxmlformats.org/officeDocument/2006/relationships/hyperlink" Id="rId150"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51"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139" Target="https://doi.org/10.1007/s10109-015-0219-1" TargetMode="External" /><Relationship Type="http://schemas.openxmlformats.org/officeDocument/2006/relationships/hyperlink" Id="rId93"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6"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pdf" TargetMode="External" /><Relationship Type="http://schemas.openxmlformats.org/officeDocument/2006/relationships/hyperlink" Id="rId150"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2026-06-14T14:24:24Z</dcterms:created>
  <dcterms:modified xsi:type="dcterms:W3CDTF">2026-06-14T14:24:24Z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14,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14,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