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5B86D" w14:textId="77777777" w:rsidR="00AA5298" w:rsidRPr="00C17322" w:rsidRDefault="00AA5298" w:rsidP="00AA5298">
      <w:pPr>
        <w:rPr>
          <w:rFonts w:ascii="Times New Roman" w:hAnsi="Times New Roman" w:cs="Times New Roman"/>
          <w:b/>
          <w:bCs/>
          <w:sz w:val="24"/>
          <w:szCs w:val="24"/>
        </w:rPr>
      </w:pPr>
      <w:r w:rsidRPr="00C17322">
        <w:rPr>
          <w:rFonts w:ascii="Times New Roman" w:hAnsi="Times New Roman" w:cs="Times New Roman"/>
          <w:b/>
          <w:bCs/>
          <w:sz w:val="24"/>
          <w:szCs w:val="24"/>
        </w:rPr>
        <w:t>Chapter Four: Global Perspectives &amp; Expanded Analysis</w:t>
      </w:r>
    </w:p>
    <w:p w14:paraId="61412F86" w14:textId="77777777" w:rsidR="00AA5298" w:rsidRPr="00C17322" w:rsidRDefault="00AA5298" w:rsidP="00AA5298">
      <w:pPr>
        <w:rPr>
          <w:rFonts w:ascii="Times New Roman" w:hAnsi="Times New Roman" w:cs="Times New Roman"/>
          <w:b/>
          <w:bCs/>
          <w:sz w:val="24"/>
          <w:szCs w:val="24"/>
        </w:rPr>
      </w:pPr>
      <w:r w:rsidRPr="00C17322">
        <w:rPr>
          <w:rFonts w:ascii="Times New Roman" w:hAnsi="Times New Roman" w:cs="Times New Roman"/>
          <w:b/>
          <w:bCs/>
          <w:sz w:val="24"/>
          <w:szCs w:val="24"/>
        </w:rPr>
        <w:t>4.1 Detailed International Case Studies</w:t>
      </w:r>
    </w:p>
    <w:p w14:paraId="1CC9002C" w14:textId="77777777" w:rsidR="00AA5298" w:rsidRPr="00C17322" w:rsidRDefault="00AA5298" w:rsidP="00AA5298">
      <w:pPr>
        <w:rPr>
          <w:rFonts w:ascii="Times New Roman" w:hAnsi="Times New Roman" w:cs="Times New Roman"/>
          <w:b/>
          <w:bCs/>
          <w:sz w:val="24"/>
          <w:szCs w:val="24"/>
        </w:rPr>
      </w:pPr>
      <w:r w:rsidRPr="00C17322">
        <w:rPr>
          <w:rFonts w:ascii="Times New Roman" w:hAnsi="Times New Roman" w:cs="Times New Roman"/>
          <w:b/>
          <w:bCs/>
          <w:sz w:val="24"/>
          <w:szCs w:val="24"/>
        </w:rPr>
        <w:t>Case Study 1: African Tyre Recycling Innovation</w:t>
      </w:r>
    </w:p>
    <w:p w14:paraId="66185F50" w14:textId="77777777" w:rsidR="00AA5298" w:rsidRPr="00C17322" w:rsidRDefault="00AA5298" w:rsidP="00AA5298">
      <w:pPr>
        <w:rPr>
          <w:rFonts w:ascii="Times New Roman" w:hAnsi="Times New Roman" w:cs="Times New Roman"/>
          <w:sz w:val="24"/>
          <w:szCs w:val="24"/>
        </w:rPr>
      </w:pPr>
      <w:r w:rsidRPr="00C17322">
        <w:rPr>
          <w:rFonts w:ascii="Times New Roman" w:hAnsi="Times New Roman" w:cs="Times New Roman"/>
          <w:sz w:val="24"/>
          <w:szCs w:val="24"/>
        </w:rPr>
        <w:t>A recent project in Africa demonstrated the viability of using crusher-compactors to convert tyre remnants into industrial aggregates. This method not only reduced waste but also resulted in products that could substitute for traditional raw materials in construction (UNEP, 2024). The integration of this technology into Kenya’s Jua Kali sector could mean lower production costs and increased sustainability.</w:t>
      </w:r>
    </w:p>
    <w:p w14:paraId="500D7D44" w14:textId="77777777" w:rsidR="00AA5298" w:rsidRPr="00C17322" w:rsidRDefault="00AA5298" w:rsidP="00AA5298">
      <w:pPr>
        <w:rPr>
          <w:rFonts w:ascii="Times New Roman" w:hAnsi="Times New Roman" w:cs="Times New Roman"/>
          <w:b/>
          <w:bCs/>
          <w:sz w:val="24"/>
          <w:szCs w:val="24"/>
        </w:rPr>
      </w:pPr>
      <w:r w:rsidRPr="00C17322">
        <w:rPr>
          <w:rFonts w:ascii="Times New Roman" w:hAnsi="Times New Roman" w:cs="Times New Roman"/>
          <w:b/>
          <w:bCs/>
          <w:sz w:val="24"/>
          <w:szCs w:val="24"/>
        </w:rPr>
        <w:t>Case Study 2: European Extended Producer Responsibility (EPR)</w:t>
      </w:r>
    </w:p>
    <w:p w14:paraId="308B878D" w14:textId="77777777" w:rsidR="00AA5298" w:rsidRPr="00C17322" w:rsidRDefault="00AA5298" w:rsidP="00AA5298">
      <w:pPr>
        <w:rPr>
          <w:rFonts w:ascii="Times New Roman" w:hAnsi="Times New Roman" w:cs="Times New Roman"/>
          <w:sz w:val="24"/>
          <w:szCs w:val="24"/>
        </w:rPr>
      </w:pPr>
      <w:r w:rsidRPr="00C17322">
        <w:rPr>
          <w:rFonts w:ascii="Times New Roman" w:hAnsi="Times New Roman" w:cs="Times New Roman"/>
          <w:sz w:val="24"/>
          <w:szCs w:val="24"/>
        </w:rPr>
        <w:t>In Belgium and Italy, EPR policies have forced tyre manufacturers to invest in end-of-life management systems, leading to a more systematic recycling process. This model has contributed to reducing illegal tyre dumping and stimulating recycled goods markets (UNEP, 2024). Policy reforms inspired by EPR could engage government stakeholders in Kenya to provide the necessary incentives and regulations.</w:t>
      </w:r>
    </w:p>
    <w:p w14:paraId="73DBEAA3" w14:textId="77777777" w:rsidR="00AA5298" w:rsidRPr="00C17322" w:rsidRDefault="00AA5298" w:rsidP="00AA5298">
      <w:pPr>
        <w:rPr>
          <w:rFonts w:ascii="Times New Roman" w:hAnsi="Times New Roman" w:cs="Times New Roman"/>
          <w:b/>
          <w:bCs/>
          <w:sz w:val="24"/>
          <w:szCs w:val="24"/>
        </w:rPr>
      </w:pPr>
      <w:r w:rsidRPr="00C17322">
        <w:rPr>
          <w:rFonts w:ascii="Times New Roman" w:hAnsi="Times New Roman" w:cs="Times New Roman"/>
          <w:b/>
          <w:bCs/>
          <w:sz w:val="24"/>
          <w:szCs w:val="24"/>
        </w:rPr>
        <w:t>Case Study 3: Swiss Technological Excellence</w:t>
      </w:r>
    </w:p>
    <w:p w14:paraId="56C554D1" w14:textId="77777777" w:rsidR="00AA5298" w:rsidRPr="00C17322" w:rsidRDefault="00AA5298" w:rsidP="00AA5298">
      <w:pPr>
        <w:rPr>
          <w:rFonts w:ascii="Times New Roman" w:hAnsi="Times New Roman" w:cs="Times New Roman"/>
          <w:sz w:val="24"/>
          <w:szCs w:val="24"/>
        </w:rPr>
      </w:pPr>
      <w:r w:rsidRPr="00C17322">
        <w:rPr>
          <w:rFonts w:ascii="Times New Roman" w:hAnsi="Times New Roman" w:cs="Times New Roman"/>
          <w:sz w:val="24"/>
          <w:szCs w:val="24"/>
        </w:rPr>
        <w:t>Swiss companies specializing in tyre recycling, such as TRS, rely on cutting-edge recycling machinery and robust quality control measures. Their sustainable models showcase how technology and policy can work in tandem to streamline recycling processes, maximize economic returns, and reduce environmental hazards (WHO, 2022). Adapting such innovations in Kenya could foster better training paradigms and efficiency within the Jua Kali sector.</w:t>
      </w:r>
    </w:p>
    <w:p w14:paraId="6B53BB74" w14:textId="77777777" w:rsidR="00AA5298" w:rsidRPr="00C17322" w:rsidRDefault="00AA5298" w:rsidP="00AA5298">
      <w:pPr>
        <w:rPr>
          <w:rFonts w:ascii="Times New Roman" w:hAnsi="Times New Roman" w:cs="Times New Roman"/>
          <w:b/>
          <w:bCs/>
          <w:sz w:val="24"/>
          <w:szCs w:val="24"/>
        </w:rPr>
      </w:pPr>
      <w:r w:rsidRPr="00C17322">
        <w:rPr>
          <w:rFonts w:ascii="Times New Roman" w:hAnsi="Times New Roman" w:cs="Times New Roman"/>
          <w:b/>
          <w:bCs/>
          <w:sz w:val="24"/>
          <w:szCs w:val="24"/>
        </w:rPr>
        <w:t>4.2 Synthesis of Global Lessons for Kenya</w:t>
      </w:r>
    </w:p>
    <w:p w14:paraId="064B2FB4" w14:textId="77777777" w:rsidR="00AA5298" w:rsidRPr="00C17322" w:rsidRDefault="00AA5298" w:rsidP="00AA5298">
      <w:pPr>
        <w:rPr>
          <w:rFonts w:ascii="Times New Roman" w:hAnsi="Times New Roman" w:cs="Times New Roman"/>
          <w:sz w:val="24"/>
          <w:szCs w:val="24"/>
        </w:rPr>
      </w:pPr>
      <w:r w:rsidRPr="00C17322">
        <w:rPr>
          <w:rFonts w:ascii="Times New Roman" w:hAnsi="Times New Roman" w:cs="Times New Roman"/>
          <w:sz w:val="24"/>
          <w:szCs w:val="24"/>
        </w:rPr>
        <w:t>By integrating lessons from Africa’s low-cost innovations, the EU’s policy-driven frameworks, and Switzerland’s technological advances, Kenya can:</w:t>
      </w:r>
    </w:p>
    <w:p w14:paraId="0D71C8DC" w14:textId="77777777" w:rsidR="00AA5298" w:rsidRPr="00C17322" w:rsidRDefault="00AA5298" w:rsidP="00AA5298">
      <w:pPr>
        <w:numPr>
          <w:ilvl w:val="0"/>
          <w:numId w:val="1"/>
        </w:numPr>
        <w:rPr>
          <w:rFonts w:ascii="Times New Roman" w:hAnsi="Times New Roman" w:cs="Times New Roman"/>
          <w:sz w:val="24"/>
          <w:szCs w:val="24"/>
        </w:rPr>
      </w:pPr>
      <w:r w:rsidRPr="00C17322">
        <w:rPr>
          <w:rFonts w:ascii="Times New Roman" w:hAnsi="Times New Roman" w:cs="Times New Roman"/>
          <w:sz w:val="24"/>
          <w:szCs w:val="24"/>
        </w:rPr>
        <w:t xml:space="preserve">Develop a </w:t>
      </w:r>
      <w:r w:rsidRPr="00C17322">
        <w:rPr>
          <w:rFonts w:ascii="Times New Roman" w:hAnsi="Times New Roman" w:cs="Times New Roman"/>
          <w:b/>
          <w:bCs/>
          <w:sz w:val="24"/>
          <w:szCs w:val="24"/>
        </w:rPr>
        <w:t>hybrid recycling model</w:t>
      </w:r>
      <w:r w:rsidRPr="00C17322">
        <w:rPr>
          <w:rFonts w:ascii="Times New Roman" w:hAnsi="Times New Roman" w:cs="Times New Roman"/>
          <w:sz w:val="24"/>
          <w:szCs w:val="24"/>
        </w:rPr>
        <w:t xml:space="preserve"> that leverages appropriate technology with supportive legislation.</w:t>
      </w:r>
    </w:p>
    <w:p w14:paraId="613369CD" w14:textId="77777777" w:rsidR="00AA5298" w:rsidRPr="00C17322" w:rsidRDefault="00AA5298" w:rsidP="00AA5298">
      <w:pPr>
        <w:numPr>
          <w:ilvl w:val="0"/>
          <w:numId w:val="1"/>
        </w:numPr>
        <w:rPr>
          <w:rFonts w:ascii="Times New Roman" w:hAnsi="Times New Roman" w:cs="Times New Roman"/>
          <w:sz w:val="24"/>
          <w:szCs w:val="24"/>
        </w:rPr>
      </w:pPr>
      <w:r w:rsidRPr="00C17322">
        <w:rPr>
          <w:rFonts w:ascii="Times New Roman" w:hAnsi="Times New Roman" w:cs="Times New Roman"/>
          <w:sz w:val="24"/>
          <w:szCs w:val="24"/>
        </w:rPr>
        <w:t>Establish training programs that reflect international best practices.</w:t>
      </w:r>
    </w:p>
    <w:p w14:paraId="475371E8" w14:textId="7C393C57" w:rsidR="008772B7" w:rsidRPr="00AA5298" w:rsidRDefault="00AA5298" w:rsidP="00AA5298">
      <w:pPr>
        <w:numPr>
          <w:ilvl w:val="0"/>
          <w:numId w:val="1"/>
        </w:numPr>
        <w:rPr>
          <w:rFonts w:ascii="Times New Roman" w:hAnsi="Times New Roman" w:cs="Times New Roman"/>
          <w:sz w:val="24"/>
          <w:szCs w:val="24"/>
        </w:rPr>
      </w:pPr>
      <w:r w:rsidRPr="00C17322">
        <w:rPr>
          <w:rFonts w:ascii="Times New Roman" w:hAnsi="Times New Roman" w:cs="Times New Roman"/>
          <w:sz w:val="24"/>
          <w:szCs w:val="24"/>
        </w:rPr>
        <w:t>Expand market reach by demonstrating compliance with global sustainability standards.</w:t>
      </w:r>
    </w:p>
    <w:sectPr w:rsidR="008772B7" w:rsidRPr="00AA5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5175FC"/>
    <w:multiLevelType w:val="multilevel"/>
    <w:tmpl w:val="174C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8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98"/>
    <w:rsid w:val="000763E2"/>
    <w:rsid w:val="00123C55"/>
    <w:rsid w:val="004722B7"/>
    <w:rsid w:val="008772B7"/>
    <w:rsid w:val="00950BAD"/>
    <w:rsid w:val="00AA5298"/>
    <w:rsid w:val="00F4063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CFD7"/>
  <w15:chartTrackingRefBased/>
  <w15:docId w15:val="{48726674-AC8A-4DEA-9D46-35241DBE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98"/>
  </w:style>
  <w:style w:type="paragraph" w:styleId="Heading1">
    <w:name w:val="heading 1"/>
    <w:basedOn w:val="Normal"/>
    <w:next w:val="Normal"/>
    <w:link w:val="Heading1Char"/>
    <w:uiPriority w:val="9"/>
    <w:qFormat/>
    <w:rsid w:val="00AA5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5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5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5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5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5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5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5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5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5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5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298"/>
    <w:rPr>
      <w:rFonts w:eastAsiaTheme="majorEastAsia" w:cstheme="majorBidi"/>
      <w:color w:val="272727" w:themeColor="text1" w:themeTint="D8"/>
    </w:rPr>
  </w:style>
  <w:style w:type="paragraph" w:styleId="Title">
    <w:name w:val="Title"/>
    <w:basedOn w:val="Normal"/>
    <w:next w:val="Normal"/>
    <w:link w:val="TitleChar"/>
    <w:uiPriority w:val="10"/>
    <w:qFormat/>
    <w:rsid w:val="00AA5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298"/>
    <w:pPr>
      <w:spacing w:before="160"/>
      <w:jc w:val="center"/>
    </w:pPr>
    <w:rPr>
      <w:i/>
      <w:iCs/>
      <w:color w:val="404040" w:themeColor="text1" w:themeTint="BF"/>
    </w:rPr>
  </w:style>
  <w:style w:type="character" w:customStyle="1" w:styleId="QuoteChar">
    <w:name w:val="Quote Char"/>
    <w:basedOn w:val="DefaultParagraphFont"/>
    <w:link w:val="Quote"/>
    <w:uiPriority w:val="29"/>
    <w:rsid w:val="00AA5298"/>
    <w:rPr>
      <w:i/>
      <w:iCs/>
      <w:color w:val="404040" w:themeColor="text1" w:themeTint="BF"/>
    </w:rPr>
  </w:style>
  <w:style w:type="paragraph" w:styleId="ListParagraph">
    <w:name w:val="List Paragraph"/>
    <w:basedOn w:val="Normal"/>
    <w:uiPriority w:val="34"/>
    <w:qFormat/>
    <w:rsid w:val="00AA5298"/>
    <w:pPr>
      <w:ind w:left="720"/>
      <w:contextualSpacing/>
    </w:pPr>
  </w:style>
  <w:style w:type="character" w:styleId="IntenseEmphasis">
    <w:name w:val="Intense Emphasis"/>
    <w:basedOn w:val="DefaultParagraphFont"/>
    <w:uiPriority w:val="21"/>
    <w:qFormat/>
    <w:rsid w:val="00AA5298"/>
    <w:rPr>
      <w:i/>
      <w:iCs/>
      <w:color w:val="2F5496" w:themeColor="accent1" w:themeShade="BF"/>
    </w:rPr>
  </w:style>
  <w:style w:type="paragraph" w:styleId="IntenseQuote">
    <w:name w:val="Intense Quote"/>
    <w:basedOn w:val="Normal"/>
    <w:next w:val="Normal"/>
    <w:link w:val="IntenseQuoteChar"/>
    <w:uiPriority w:val="30"/>
    <w:qFormat/>
    <w:rsid w:val="00AA5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5298"/>
    <w:rPr>
      <w:i/>
      <w:iCs/>
      <w:color w:val="2F5496" w:themeColor="accent1" w:themeShade="BF"/>
    </w:rPr>
  </w:style>
  <w:style w:type="character" w:styleId="IntenseReference">
    <w:name w:val="Intense Reference"/>
    <w:basedOn w:val="DefaultParagraphFont"/>
    <w:uiPriority w:val="32"/>
    <w:qFormat/>
    <w:rsid w:val="00AA52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Mutuku</dc:creator>
  <cp:keywords/>
  <dc:description/>
  <cp:lastModifiedBy>Eric Mutuku</cp:lastModifiedBy>
  <cp:revision>1</cp:revision>
  <dcterms:created xsi:type="dcterms:W3CDTF">2025-04-29T14:45:00Z</dcterms:created>
  <dcterms:modified xsi:type="dcterms:W3CDTF">2025-04-29T14:46:00Z</dcterms:modified>
</cp:coreProperties>
</file>