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2"/>
        <w:pBdr/>
        <w:spacing/>
        <w:ind/>
        <w:rPr/>
      </w:pPr>
      <w:r/>
      <w:r/>
      <w:r>
        <w:t xml:space="preserve">T011-10466-SAVED-BY-NANOOFFICE</w:t>
      </w:r>
      <w:r/>
      <w:r>
        <w:t xml:space="preserve">NanoOffice PH-0 Fixture</w:t>
      </w:r>
      <w:r/>
    </w:p>
    <w:p>
      <w:pPr>
        <w:pBdr/>
        <w:spacing/>
        <w:ind/>
        <w:rPr/>
      </w:pPr>
      <w:r>
        <w:t xml:space="preserve">If this paragraph renders in the WKWebView canvas, the editing engine is alive inside the Tauri shell.</w:t>
      </w:r>
      <w:r/>
    </w:p>
    <w:p>
      <w:pPr>
        <w:pBdr/>
        <w:spacing/>
        <w:ind/>
        <w:rPr/>
      </w:pPr>
      <w:r>
        <w:rPr>
          <w:b/>
        </w:rPr>
        <w:t xml:space="preserve">Bold run check: this whole sentence should be bold.</w:t>
      </w:r>
      <w:r/>
    </w:p>
    <w:p>
      <w:pPr>
        <w:pBdr/>
        <w:spacing/>
        <w:ind/>
        <w:rPr/>
      </w:pPr>
      <w:r>
        <w:t xml:space="preserve">Đoạn tiếng Việt có dấu: ẽnghệ ộ lại là là — kiểm tra font fallback.</w:t>
      </w:r>
      <w:r/>
    </w:p>
    <w:p>
      <w:pPr>
        <w:pBdr/>
        <w:spacing/>
        <w:ind/>
        <w:rPr/>
      </w:pPr>
      <w:r>
        <w:t xml:space="preserve">0123456789 — tab</w:t>
        <w:tab/>
        <w:t xml:space="preserve">here — quotes “smart” and 'plain'.</w:t>
      </w:r>
      <w:r/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62">
    <w:name w:val="Heading 1"/>
    <w:pPr>
      <w:pBdr/>
      <w:spacing w:after="120" w:before="240"/>
      <w:ind/>
      <w:outlineLvl w:val="0"/>
    </w:pPr>
    <w:rPr>
      <w:b/>
      <w:sz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