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Doc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Bảng lồng:</w:t>
      </w:r>
    </w:p>
    <w:tbl>
      <w:tr>
        <w:tc>
          <w:p>
            <w:r>
              <w:t>trống</w:t>
            </w:r>
          </w:p>
        </w:tc>
        <w:tc>
          <w:tbl>
            <w:tr>
              <w:tc>
                <w:p>
                  <w:r>
                    <w:t>ô trong</w:t>
                  </w:r>
                </w:p>
              </w:tc>
            </w:tr>
            <w:tr>
              <w:tc>
                <w:p>
                  <w:r>
                    <w:t>hàng hai</w:t>
                  </w:r>
                </w:p>
              </w:tc>
            </w:tr>
          </w:tbl>
          <w:p>
            <w:r>
              <w:t xml:space="preserve">sau bảng trong</w:t>
            </w:r>
          </w:p>
        </w:tc>
      </w:tr>
    </w:tbl>
    <w:p>
      <w:r>
        <w:t xml:space="preserve">Kết thúc bảng lồng.</w:t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