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3C8A1" w14:textId="77777777" w:rsidR="00EB4239" w:rsidRDefault="001A69CF">
      <w:pPr>
        <w:pStyle w:val="Title"/>
      </w:pPr>
      <w:r>
        <w:t>Final Project Milestone #4</w:t>
      </w:r>
    </w:p>
    <w:p w14:paraId="2BE4A09B" w14:textId="77777777" w:rsidR="00EB4239" w:rsidRDefault="00EB4239"/>
    <w:p w14:paraId="7CF22529" w14:textId="77777777" w:rsidR="00EB4239" w:rsidRDefault="001A69CF">
      <w:r>
        <w:t>CIS 9440 - Data Warehousing for Analytics</w:t>
      </w:r>
    </w:p>
    <w:p w14:paraId="70888157" w14:textId="77777777" w:rsidR="00EB4239" w:rsidRDefault="001A69CF">
      <w:r>
        <w:t>Final Project Milestone 4</w:t>
      </w:r>
    </w:p>
    <w:p w14:paraId="3FD6D2BA" w14:textId="77777777" w:rsidR="00EB4239" w:rsidRDefault="001A69CF">
      <w:r>
        <w:t>Group Number - 21</w:t>
      </w:r>
    </w:p>
    <w:p w14:paraId="2F5F079B" w14:textId="77777777" w:rsidR="00EB4239" w:rsidRDefault="001A69CF">
      <w:r>
        <w:t xml:space="preserve">Student(s) - Leah Lu, Porfirio </w:t>
      </w:r>
      <w:proofErr w:type="spellStart"/>
      <w:r>
        <w:t>Mohabir</w:t>
      </w:r>
      <w:proofErr w:type="spellEnd"/>
      <w:r>
        <w:t xml:space="preserve">, Eric </w:t>
      </w:r>
      <w:proofErr w:type="spellStart"/>
      <w:r>
        <w:t>Sedaghat</w:t>
      </w:r>
      <w:proofErr w:type="spellEnd"/>
      <w:r>
        <w:t xml:space="preserve">, Tori </w:t>
      </w:r>
      <w:proofErr w:type="spellStart"/>
      <w:r>
        <w:t>Torsaengtong</w:t>
      </w:r>
      <w:proofErr w:type="spellEnd"/>
      <w:r>
        <w:t>, Tshering Sherpa</w:t>
      </w:r>
    </w:p>
    <w:p w14:paraId="6BB39D92" w14:textId="77777777" w:rsidR="00EB4239" w:rsidRDefault="00EB4239"/>
    <w:p w14:paraId="64B0E931" w14:textId="77777777" w:rsidR="00EB4239" w:rsidRDefault="001A69CF">
      <w:r>
        <w:rPr>
          <w:noProof/>
        </w:rPr>
        <w:pict w14:anchorId="53AD2B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EEE014" w14:textId="77777777" w:rsidR="00EB4239" w:rsidRDefault="00EB4239"/>
    <w:p w14:paraId="741752F4" w14:textId="77777777" w:rsidR="00EB4239" w:rsidRDefault="001A69CF">
      <w:pPr>
        <w:numPr>
          <w:ilvl w:val="0"/>
          <w:numId w:val="2"/>
        </w:numPr>
        <w:spacing w:after="200"/>
      </w:pPr>
      <w:r>
        <w:t>List your final set of 3-5 KPI’s.</w:t>
      </w:r>
    </w:p>
    <w:p w14:paraId="3DD645DD" w14:textId="77777777" w:rsidR="00EB4239" w:rsidRDefault="001A69CF">
      <w:pPr>
        <w:numPr>
          <w:ilvl w:val="0"/>
          <w:numId w:val="1"/>
        </w:numPr>
      </w:pPr>
      <w:r>
        <w:t>Change in Listing Price year over year</w:t>
      </w:r>
    </w:p>
    <w:p w14:paraId="6043066D" w14:textId="77777777" w:rsidR="00EB4239" w:rsidRDefault="001A69CF">
      <w:pPr>
        <w:numPr>
          <w:ilvl w:val="0"/>
          <w:numId w:val="1"/>
        </w:numPr>
      </w:pPr>
      <w:r>
        <w:t>Max Listing price each year</w:t>
      </w:r>
    </w:p>
    <w:p w14:paraId="065A66F5" w14:textId="77777777" w:rsidR="00EB4239" w:rsidRDefault="001A69CF">
      <w:pPr>
        <w:numPr>
          <w:ilvl w:val="0"/>
          <w:numId w:val="1"/>
        </w:numPr>
      </w:pPr>
      <w:r>
        <w:t>Change in Income year over year</w:t>
      </w:r>
    </w:p>
    <w:p w14:paraId="552C72EF" w14:textId="77777777" w:rsidR="00EB4239" w:rsidRDefault="001A69CF">
      <w:pPr>
        <w:numPr>
          <w:ilvl w:val="0"/>
          <w:numId w:val="1"/>
        </w:numPr>
      </w:pPr>
      <w:r>
        <w:t>Median Income per City by Hou</w:t>
      </w:r>
      <w:r>
        <w:t>sehold Type</w:t>
      </w:r>
    </w:p>
    <w:p w14:paraId="254221ED" w14:textId="77777777" w:rsidR="00EB4239" w:rsidRDefault="001A69CF">
      <w:pPr>
        <w:numPr>
          <w:ilvl w:val="0"/>
          <w:numId w:val="1"/>
        </w:numPr>
      </w:pPr>
      <w:r>
        <w:t xml:space="preserve">Median days on market </w:t>
      </w:r>
    </w:p>
    <w:p w14:paraId="751C5889" w14:textId="77777777" w:rsidR="00EB4239" w:rsidRDefault="00EB4239">
      <w:pPr>
        <w:spacing w:after="200"/>
        <w:ind w:left="720"/>
      </w:pPr>
    </w:p>
    <w:p w14:paraId="5B7D7EFF" w14:textId="77777777" w:rsidR="00EB4239" w:rsidRDefault="001A69CF">
      <w:pPr>
        <w:numPr>
          <w:ilvl w:val="0"/>
          <w:numId w:val="2"/>
        </w:numPr>
        <w:spacing w:after="200"/>
      </w:pPr>
      <w:r>
        <w:t>Short description of Visualization that will be used for each KPI. Why will you use that type of visualization?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4740"/>
      </w:tblGrid>
      <w:tr w:rsidR="00EB4239" w14:paraId="038304C3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6F5" w14:textId="77777777" w:rsidR="00EB4239" w:rsidRDefault="001A6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KPI’s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3B8B" w14:textId="77777777" w:rsidR="00EB4239" w:rsidRDefault="001A6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Visualization</w:t>
            </w:r>
          </w:p>
        </w:tc>
      </w:tr>
      <w:tr w:rsidR="00EB4239" w14:paraId="52C33BC6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6855" w14:textId="77777777" w:rsidR="00EB4239" w:rsidRDefault="001A69CF">
            <w:r>
              <w:t>Change in Listing price year over year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6743" w14:textId="77777777" w:rsidR="00EB4239" w:rsidRDefault="001A6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Highlight table - focusing on the percentage change each year from 2017-2021 based on city and </w:t>
            </w:r>
            <w:proofErr w:type="spellStart"/>
            <w:r>
              <w:t>zipcode</w:t>
            </w:r>
            <w:proofErr w:type="spellEnd"/>
            <w:r>
              <w:t xml:space="preserve">. We used highlight tables here because it draws our attention to the darker highlights, which are the values with the highest change in property value. </w:t>
            </w:r>
          </w:p>
        </w:tc>
      </w:tr>
      <w:tr w:rsidR="00EB4239" w14:paraId="1E8E92FC" w14:textId="77777777">
        <w:trPr>
          <w:trHeight w:val="515"/>
        </w:trPr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EAE1" w14:textId="77777777" w:rsidR="00EB4239" w:rsidRDefault="001A69CF">
            <w:r>
              <w:t>Max Listing price each year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8C4F" w14:textId="77777777" w:rsidR="00EB4239" w:rsidRDefault="001A6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Bar graph - comparing the areas that have the most expensive property value each year. Using the bar graph, we can see which city had the highest property value each year. </w:t>
            </w:r>
          </w:p>
        </w:tc>
      </w:tr>
      <w:tr w:rsidR="00EB4239" w14:paraId="3622BBBC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90AE" w14:textId="77777777" w:rsidR="00EB4239" w:rsidRDefault="001A69CF">
            <w:r>
              <w:t>Change in Income year over year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59D3" w14:textId="77777777" w:rsidR="00EB4239" w:rsidRDefault="001A6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Color Text table - The table shows the Percent change in median income per year (2017,2018,2019) by city. Using the red-green colorway, the KPI visualization provides a very clear visual of big/small percent changes over tim</w:t>
            </w:r>
            <w:r>
              <w:t xml:space="preserve">e.  </w:t>
            </w:r>
          </w:p>
        </w:tc>
      </w:tr>
      <w:tr w:rsidR="00EB4239" w14:paraId="4E996F01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EB18" w14:textId="77777777" w:rsidR="00EB4239" w:rsidRDefault="001A69CF">
            <w:r>
              <w:t>Median Income per City by Household Type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E2B8" w14:textId="77777777" w:rsidR="00EB4239" w:rsidRDefault="001A6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 graph - comparing the areas that have the most income by household types. Each line in the graph shows the household type’s income in that city, not only can we see which </w:t>
            </w:r>
            <w:r>
              <w:lastRenderedPageBreak/>
              <w:t>areas have a higher income, but which household type has the higher income. We c</w:t>
            </w:r>
            <w:r>
              <w:t xml:space="preserve">an use this to invest in specific property types. For example, individuals without kids may be more interested in buying apartments or families with kids may be more interested in one/two family houses. </w:t>
            </w:r>
          </w:p>
        </w:tc>
      </w:tr>
      <w:tr w:rsidR="00EB4239" w14:paraId="746F9504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621C" w14:textId="77777777" w:rsidR="00EB4239" w:rsidRDefault="001A69CF">
            <w:r>
              <w:lastRenderedPageBreak/>
              <w:t xml:space="preserve">Median days on market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C9D4" w14:textId="77777777" w:rsidR="00EB4239" w:rsidRDefault="001A69CF">
            <w:pPr>
              <w:widowControl w:val="0"/>
              <w:spacing w:line="240" w:lineRule="auto"/>
            </w:pPr>
            <w:r>
              <w:t xml:space="preserve">Bar graph - showing average </w:t>
            </w:r>
            <w:r>
              <w:t xml:space="preserve">median days on market from zip codes that have the most to the least days. We used a bar graph because it allows us to easily spot the highest/lowest bars that can be used to identify which zip codes have the highest / least days on market. </w:t>
            </w:r>
          </w:p>
        </w:tc>
      </w:tr>
    </w:tbl>
    <w:p w14:paraId="77B4B3D5" w14:textId="77777777" w:rsidR="00EB4239" w:rsidRDefault="00EB4239">
      <w:pPr>
        <w:spacing w:after="200"/>
      </w:pPr>
    </w:p>
    <w:p w14:paraId="6A63FC78" w14:textId="77777777" w:rsidR="00EB4239" w:rsidRDefault="001A69CF">
      <w:pPr>
        <w:numPr>
          <w:ilvl w:val="0"/>
          <w:numId w:val="2"/>
        </w:numPr>
        <w:spacing w:after="200"/>
      </w:pPr>
      <w:r>
        <w:t>Paste a pict</w:t>
      </w:r>
      <w:r>
        <w:t>ure of your BI Application Wireframe (hand drawn image, google draw, any other format).</w:t>
      </w:r>
    </w:p>
    <w:p w14:paraId="18D97ECF" w14:textId="77777777" w:rsidR="00EB4239" w:rsidRDefault="001A69CF">
      <w:pPr>
        <w:spacing w:after="200"/>
        <w:ind w:left="720"/>
      </w:pPr>
      <w:r>
        <w:rPr>
          <w:noProof/>
        </w:rPr>
        <w:drawing>
          <wp:inline distT="114300" distB="114300" distL="114300" distR="114300" wp14:anchorId="45F548D6" wp14:editId="6DF80DBC">
            <wp:extent cx="5257800" cy="37433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7852" r="368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27E4C" w14:textId="77777777" w:rsidR="00EB4239" w:rsidRDefault="001A69CF">
      <w:pPr>
        <w:numPr>
          <w:ilvl w:val="0"/>
          <w:numId w:val="2"/>
        </w:numPr>
        <w:spacing w:after="200"/>
      </w:pPr>
      <w:r>
        <w:t>Link to your Tableau Public dashboard. (ensure this link works!)</w:t>
      </w:r>
    </w:p>
    <w:p w14:paraId="0E14252B" w14:textId="77777777" w:rsidR="00EB4239" w:rsidRDefault="001A69CF">
      <w:pPr>
        <w:spacing w:after="200"/>
      </w:pPr>
      <w:hyperlink r:id="rId7" w:anchor="!/vizhome/CIS9440-Milestone4-Group21/Dashboard1">
        <w:r>
          <w:rPr>
            <w:color w:val="1155CC"/>
            <w:u w:val="single"/>
          </w:rPr>
          <w:t>https://public.tableau.com/profile/tshering.sherpa#!/vizhome/CIS9440-Milestone4-Group21/Dashboard1</w:t>
        </w:r>
      </w:hyperlink>
    </w:p>
    <w:p w14:paraId="35E2AA54" w14:textId="77777777" w:rsidR="00EB4239" w:rsidRDefault="00EB4239">
      <w:pPr>
        <w:spacing w:after="200"/>
      </w:pPr>
    </w:p>
    <w:sectPr w:rsidR="00EB4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11A7"/>
    <w:multiLevelType w:val="multilevel"/>
    <w:tmpl w:val="B5CCE4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A928E8"/>
    <w:multiLevelType w:val="multilevel"/>
    <w:tmpl w:val="2AF68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39"/>
    <w:rsid w:val="001A69CF"/>
    <w:rsid w:val="00471447"/>
    <w:rsid w:val="00E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AA64"/>
  <w15:docId w15:val="{A9ECB8A5-CD18-3B4B-85A6-6FA73E23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97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blic.tableau.com/profile/tshering.sher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K+nbiDIipiENOMUUwrNOrRysw==">AMUW2mUy3idD5eUiVJv8fENryXqI1v2k+RKymXFaXohbq+Kb9FslDpe8ztkFNpZ04yxjBNuOQ+ZvC9T34qoKQ5VtLHDcYefZDfsLVP4vZbbLcCweUzBSh4o=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ERIC.SEDAGHAT@baruchmail.cuny.edu</cp:lastModifiedBy>
  <cp:revision>2</cp:revision>
  <dcterms:created xsi:type="dcterms:W3CDTF">2021-05-10T04:06:00Z</dcterms:created>
  <dcterms:modified xsi:type="dcterms:W3CDTF">2021-05-10T04:06:00Z</dcterms:modified>
</cp:coreProperties>
</file>