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January 2026 Monthly Letter</w:t>
      </w:r>
    </w:p>
    <w:p>
      <w:pPr>
        <w:pStyle w:val="Title"/>
      </w:pPr>
      <w:r>
        <w:rPr>
          <w:sz w:val="24"/>
        </w:rPr>
        <w:t>Eric Severson, Tony Atchley, Duane Brown, Jim Forsythe</w:t>
      </w:r>
    </w:p>
    <w:p>
      <w:pPr>
        <w:pStyle w:val="Heading1"/>
      </w:pPr>
      <w:r>
        <w:t>Key Activities</w:t>
      </w:r>
    </w:p>
    <w:p>
      <w:pPr/>
      <w:r>
        <w:t>In January, the Business Development &amp; Strategic Partnerships Team advanced several high-priority initiatives including formalizing the CTR skilled trades workforce development partnership with CSU Academics, expanding Signal Mutual's maritime training pipeline to new shipyards, launching benefit company advertising for 2026, deepening AI strategy advocacy, and preparing for Space Day in Tallahassee.</w:t>
      </w:r>
    </w:p>
    <w:p>
      <w:pPr/>
      <w:r>
        <w:t>Key accomplishments included securing academic buy-in from the Senior Vice Provost for the CTR workforce training model, completing the Orlando City SC/Orlando Pride partnership kickoff, advancing MOU discussions with UES and Infirmary Health, building and demonstrating the Green Light AI Copy Compliance Checker, conducting a comprehensive Salesforce data analysis revealing lead generation trends, and finalizing 2026 advertising placements across major benefit company platforms. The team also identified a significant rural healthcare funding opportunity and continued insurance industry curriculum development outreach.</w:t>
      </w:r>
    </w:p>
    <w:p>
      <w:pPr>
        <w:pStyle w:val="Heading1"/>
      </w:pPr>
      <w:r>
        <w:t>Maritime &amp; Shipbuilding Workforce Development</w:t>
      </w:r>
    </w:p>
    <w:p>
      <w:pPr/>
      <w:r>
        <w:t>The CTR/CSU partnership made significant progress in January with the formal introduction of CTR's recruit-train-deploy model to CSU's academic leadership. Senior Vice Provost Misti Kill confirmed CSU's capability to develop and deliver online training through Continuing Education, and the team agreed to pursue this as a low-friction entry point. CTR's current programs show a 97% placement rate across initial pilot cohorts. Signal Mutual continued connecting the partnership to new shipyards, with introductions to BAE Systems in Jacksonville, Fincantieri in Wisconsin, and NASCO in San Diego and Hampton Roads. Austal committed to 132 trainees for 2026, and Ingalls Shipbuilding scheduled a facility visit.</w:t>
      </w:r>
    </w:p>
    <w:p>
      <w:pPr>
        <w:pStyle w:val="Heading2"/>
      </w:pPr>
      <w:r>
        <w:t>Next Steps:</w:t>
      </w:r>
    </w:p>
    <w:p>
      <w:pPr>
        <w:pStyle w:val="ListParagraph"/>
      </w:pPr>
      <w:r>
        <w:t>Schedule in-person CTR meeting in Mobile to continue partnership development</w:t>
      </w:r>
    </w:p>
    <w:p>
      <w:pPr>
        <w:pStyle w:val="ListParagraph"/>
      </w:pPr>
      <w:r>
        <w:t>Convene working session with CTR, Misti Kill, and Tamara Moura to define course structure, pricing, and timeline</w:t>
      </w:r>
    </w:p>
    <w:p>
      <w:pPr>
        <w:pStyle w:val="ListParagraph"/>
      </w:pPr>
      <w:r>
        <w:t>Coordinate Signal Mutual introductions to BAE Jacksonville, Fincantieri, and NASCO contacts</w:t>
      </w:r>
    </w:p>
    <w:p>
      <w:pPr>
        <w:pStyle w:val="ListParagraph"/>
      </w:pPr>
      <w:r>
        <w:t>Draft 100-word maritime safety marketing description for Signal Mutual member communications</w:t>
      </w:r>
    </w:p>
    <w:p>
      <w:pPr>
        <w:pStyle w:val="ListParagraph"/>
      </w:pPr>
      <w:r>
        <w:t>Launch Signal Mutual scholarship program application window in March-April</w:t>
      </w:r>
    </w:p>
    <w:p>
      <w:pPr>
        <w:pStyle w:val="Heading1"/>
      </w:pPr>
      <w:r>
        <w:t>Benefit Company Channel Optimization</w:t>
      </w:r>
    </w:p>
    <w:p>
      <w:pPr/>
      <w:r>
        <w:t>The team advanced 2026 benefit company advertising across multiple platforms. The first Benefithub invoice for 2026 was received and processed, the EBG/TicketsatWork insertion order was prepared for leadership signature, and LifeMart provided advertising spend level options. Research and outreach began with new employee discount platforms including Corporate Offers and Next Jump. Eplee &amp; Associates company selections for 2026 advertising were finalized, and Passport Unlimited offered three dates for an in-person engagement at Microsoft Commons. The team also developed AI-generated sample landing pages as proof-of-concept mockups for Marketing review.</w:t>
      </w:r>
    </w:p>
    <w:p>
      <w:pPr>
        <w:pStyle w:val="Heading2"/>
      </w:pPr>
      <w:r>
        <w:t>Next Steps:</w:t>
      </w:r>
    </w:p>
    <w:p>
      <w:pPr>
        <w:pStyle w:val="ListParagraph"/>
      </w:pPr>
      <w:r>
        <w:t>Finalize CSU's advertising spend level with LifeMart and receive the insertion order</w:t>
      </w:r>
    </w:p>
    <w:p>
      <w:pPr>
        <w:pStyle w:val="ListParagraph"/>
      </w:pPr>
      <w:r>
        <w:t>Obtain leadership signatures on the EBG insertion order</w:t>
      </w:r>
    </w:p>
    <w:p>
      <w:pPr>
        <w:pStyle w:val="ListParagraph"/>
      </w:pPr>
      <w:r>
        <w:t>Complete the Scholarship America Zoom meeting and assess strategic opportunities</w:t>
      </w:r>
    </w:p>
    <w:p>
      <w:pPr>
        <w:pStyle w:val="ListParagraph"/>
      </w:pPr>
      <w:r>
        <w:t>Confirm in-person Microsoft Commons visit date with Passport Unlimited</w:t>
      </w:r>
    </w:p>
    <w:p>
      <w:pPr>
        <w:pStyle w:val="ListParagraph"/>
      </w:pPr>
      <w:r>
        <w:t>Continue evaluation and follow-up with Corporate Offers and Next Jump</w:t>
      </w:r>
    </w:p>
    <w:p>
      <w:pPr>
        <w:pStyle w:val="ListParagraph"/>
      </w:pPr>
      <w:r>
        <w:t>Refine AI-generated landing page mockups for Marketing review</w:t>
      </w:r>
    </w:p>
    <w:p>
      <w:pPr>
        <w:pStyle w:val="Heading1"/>
      </w:pPr>
      <w:r>
        <w:t>Space Force &amp; Defense Sector Development</w:t>
      </w:r>
    </w:p>
    <w:p>
      <w:pPr/>
      <w:r>
        <w:t>Space Day preparations for the Tallahassee event in February were finalized, including delivery of the Space Operations flyer to the printer and distribution to Huntsville contacts. Jim coordinated logistics, promotional materials, and lodging for the team. Marketing materials were developed while navigating DOD compliance restrictions around Space Command branding, with the team agreeing to use image-based marketing with quotes from military leaders rather than logos. The Bachelor of Science in Space Operations program targets military personnel initially, with plans to expand to civilian candidates at companies like Boeing and General Dynamics.</w:t>
      </w:r>
    </w:p>
    <w:p>
      <w:pPr>
        <w:pStyle w:val="Heading2"/>
      </w:pPr>
      <w:r>
        <w:t>Next Steps:</w:t>
      </w:r>
    </w:p>
    <w:p>
      <w:pPr>
        <w:pStyle w:val="ListParagraph"/>
      </w:pPr>
      <w:r>
        <w:t>Attend Space Florida Day in Tallahassee (February)</w:t>
      </w:r>
    </w:p>
    <w:p>
      <w:pPr>
        <w:pStyle w:val="ListParagraph"/>
      </w:pPr>
      <w:r>
        <w:t>Continue planning for Montgomery Space Day (March)</w:t>
      </w:r>
    </w:p>
    <w:p>
      <w:pPr>
        <w:pStyle w:val="ListParagraph"/>
      </w:pPr>
      <w:r>
        <w:t>Advance MOU discussions with Raytheon and UES</w:t>
      </w:r>
    </w:p>
    <w:p>
      <w:pPr>
        <w:pStyle w:val="ListParagraph"/>
      </w:pPr>
      <w:r>
        <w:t>Follow up with Space Florida, United Launch Alliance, and NextOps contacts</w:t>
      </w:r>
    </w:p>
    <w:p>
      <w:pPr>
        <w:pStyle w:val="ListParagraph"/>
      </w:pPr>
      <w:r>
        <w:t>Distribute Space Operations flyer to regional contacts and chambers</w:t>
      </w:r>
    </w:p>
    <w:p>
      <w:pPr>
        <w:pStyle w:val="Heading1"/>
      </w:pPr>
      <w:r>
        <w:t>Orlando City/Pride Sports Partnership</w:t>
      </w:r>
    </w:p>
    <w:p>
      <w:pPr/>
      <w:r>
        <w:t>The three-year partnership between CSU and Orlando City SC/Orlando Pride was officially kicked off in January. The agreement includes business-to-business networking events, a partner summit scheduled for April 23rd, hospitality assets, the Police vs. Fire match, and player appearances. The team developed a ticket distribution strategy focused on targeting local professionals within a 30-minute radius of the venue, including fire, police, and education workers. A press release is pending finalization.</w:t>
      </w:r>
    </w:p>
    <w:p>
      <w:pPr>
        <w:pStyle w:val="Heading2"/>
      </w:pPr>
      <w:r>
        <w:t>Next Steps:</w:t>
      </w:r>
    </w:p>
    <w:p>
      <w:pPr>
        <w:pStyle w:val="ListParagraph"/>
      </w:pPr>
      <w:r>
        <w:t>Finalize and distribute the Orlando City/Pride partnership press release</w:t>
      </w:r>
    </w:p>
    <w:p>
      <w:pPr>
        <w:pStyle w:val="ListParagraph"/>
      </w:pPr>
      <w:r>
        <w:t>Obtain the Orlando Soccer event schedule from Dale</w:t>
      </w:r>
    </w:p>
    <w:p>
      <w:pPr>
        <w:pStyle w:val="ListParagraph"/>
      </w:pPr>
      <w:r>
        <w:t>Develop B2B activation playbook defining target companies, invitation process, and follow-up responsibilities</w:t>
      </w:r>
    </w:p>
    <w:p>
      <w:pPr>
        <w:pStyle w:val="ListParagraph"/>
      </w:pPr>
      <w:r>
        <w:t>Plan engagement strategy for the April 23rd partner summit</w:t>
      </w:r>
    </w:p>
    <w:p>
      <w:pPr>
        <w:pStyle w:val="Heading1"/>
      </w:pPr>
      <w:r>
        <w:t>AI Strategy &amp; Tools Advancement</w:t>
      </w:r>
    </w:p>
    <w:p>
      <w:pPr/>
      <w:r>
        <w:t>Eric built and demonstrated the Green Light Copy Compliance Checker, an AI tool that evaluates marketing copy against 35 vetted compliance sources including FTC, CFPB, DOE, and accreditor guidelines. The team agreed it would serve as a pre-check tool before formal compliance review. Additionally, Eric and Mike Perry identified critical gaps in CSU's AI governance including the absence of a formal AI strategy document, a use case library, and a structured governance model. They proposed a two-tier structure with an executive steering committee and a tactical Center of Excellence, along with a plan to present the AI Committee's prior work to the President.</w:t>
      </w:r>
    </w:p>
    <w:p>
      <w:pPr>
        <w:pStyle w:val="Heading2"/>
      </w:pPr>
      <w:r>
        <w:t>Next Steps:</w:t>
      </w:r>
    </w:p>
    <w:p>
      <w:pPr>
        <w:pStyle w:val="ListParagraph"/>
      </w:pPr>
      <w:r>
        <w:t>Schedule presentation of AI Committee accomplishments to Ken and President's Council</w:t>
      </w:r>
    </w:p>
    <w:p>
      <w:pPr>
        <w:pStyle w:val="ListParagraph"/>
      </w:pPr>
      <w:r>
        <w:t>Develop written proposal for two-tier AI governance structure (steering committee + COE)</w:t>
      </w:r>
    </w:p>
    <w:p>
      <w:pPr>
        <w:pStyle w:val="ListParagraph"/>
      </w:pPr>
      <w:r>
        <w:t>Resolve IT permissions blocking Copilot agent compliance checker functionality</w:t>
      </w:r>
    </w:p>
    <w:p>
      <w:pPr>
        <w:pStyle w:val="ListParagraph"/>
      </w:pPr>
      <w:r>
        <w:t>Connect with Dale and BG in Marketing to integrate the compliance checker into workflows</w:t>
      </w:r>
    </w:p>
    <w:p>
      <w:pPr>
        <w:pStyle w:val="ListParagraph"/>
      </w:pPr>
      <w:r>
        <w:t>Advocate for sandbox environment for AI experimentation across departments</w:t>
      </w:r>
    </w:p>
    <w:p>
      <w:pPr>
        <w:pStyle w:val="Heading1"/>
      </w:pPr>
      <w:r>
        <w:t>Learning Partner &amp; Regional Development</w:t>
      </w:r>
    </w:p>
    <w:p>
      <w:pPr/>
      <w:r>
        <w:t>Jim advanced several regional partnership opportunities in the Gulf Coast and Alabama markets. Infirmary Health agreed to explore a joint tabletop event combining nursing and general program promotion. UES's Environmental Services Manager recommended implementing the CSU MOU to regional leadership. Jim attended the Bay Minette State of the City event, identified Novellus (a 2,000-employee aluminum recycling facility) as a potential learning partner, and made key contacts at SW Mobile County Chamber and the Pensacola Chamber Innovation Committee. A meeting was arranged with Senator Tommy Tuberville's Regional Director regarding CSU programs.</w:t>
      </w:r>
    </w:p>
    <w:p>
      <w:pPr>
        <w:pStyle w:val="Heading2"/>
      </w:pPr>
      <w:r>
        <w:t>Next Steps:</w:t>
      </w:r>
    </w:p>
    <w:p>
      <w:pPr>
        <w:pStyle w:val="ListParagraph"/>
      </w:pPr>
      <w:r>
        <w:t>Coordinate joint tabletop event dates with Infirmary Health and Bonny</w:t>
      </w:r>
    </w:p>
    <w:p>
      <w:pPr>
        <w:pStyle w:val="ListParagraph"/>
      </w:pPr>
      <w:r>
        <w:t>Follow up on UES MOU recommendation as it advances to the corporate office</w:t>
      </w:r>
    </w:p>
    <w:p>
      <w:pPr>
        <w:pStyle w:val="ListParagraph"/>
      </w:pPr>
      <w:r>
        <w:t>Pursue Novellus HR/training contacts for workforce development opportunities</w:t>
      </w:r>
    </w:p>
    <w:p>
      <w:pPr>
        <w:pStyle w:val="ListParagraph"/>
      </w:pPr>
      <w:r>
        <w:t>Advance BMW MOU discussions through Amy Ross</w:t>
      </w:r>
    </w:p>
    <w:p>
      <w:pPr>
        <w:pStyle w:val="ListParagraph"/>
      </w:pPr>
      <w:r>
        <w:t>Complete meetings with Hyundai MOBIS and Hyundai Transformers</w:t>
      </w:r>
    </w:p>
    <w:p>
      <w:pPr>
        <w:pStyle w:val="Heading1"/>
      </w:pPr>
      <w:r>
        <w:t>Insurance Industry Curriculum Initiative</w:t>
      </w:r>
    </w:p>
    <w:p>
      <w:pPr/>
      <w:r>
        <w:t>Tony continued advancing the insurance curriculum initiative with outreach to Carl Schneider, a key stakeholder from the Disaster Leadership Conference. The follow-up addressed fortified construction training, the IBHS Research Center, and connections to Brian Powell and Mark Fowler in Alabama's fortified building community. Industry feedback reinforced demand for a "Producer School" covering policy reading, financial statement analysis, and what Bill Jacka coined as training "Financial First Responders." Tony also identified potential alignment between fortified construction, CSU's Safety curriculum, and the Wildland Fire concentration.</w:t>
      </w:r>
    </w:p>
    <w:p>
      <w:pPr>
        <w:pStyle w:val="Heading2"/>
      </w:pPr>
      <w:r>
        <w:t>Next Steps:</w:t>
      </w:r>
    </w:p>
    <w:p>
      <w:pPr>
        <w:pStyle w:val="ListParagraph"/>
      </w:pPr>
      <w:r>
        <w:t>Summarize insurance industry findings for the CSU academic team to ensure alignment</w:t>
      </w:r>
    </w:p>
    <w:p>
      <w:pPr>
        <w:pStyle w:val="ListParagraph"/>
      </w:pPr>
      <w:r>
        <w:t>Pursue fortified construction project visit in Houston with David O'Neill</w:t>
      </w:r>
    </w:p>
    <w:p>
      <w:pPr>
        <w:pStyle w:val="ListParagraph"/>
      </w:pPr>
      <w:r>
        <w:t>Connect with Brian Powell and Mark Fowler on Alabama fortified building collaboration</w:t>
      </w:r>
    </w:p>
    <w:p>
      <w:pPr>
        <w:pStyle w:val="ListParagraph"/>
      </w:pPr>
      <w:r>
        <w:t>Identify and recommend 2026 insurance industry conferences for team attendance</w:t>
      </w:r>
    </w:p>
    <w:p>
      <w:pPr>
        <w:pStyle w:val="Heading1"/>
      </w:pPr>
      <w:r>
        <w:t>Salesforce Data Analysis &amp; Performance Insights</w:t>
      </w:r>
    </w:p>
    <w:p>
      <w:pPr/>
      <w:r>
        <w:t>Eric conducted a comprehensive after-action analysis of five years of Salesforce lead generation data (2020-2025). The analysis revealed a 4% overall decline in lead volume, with significant drops in fire safety and occupational health programs partially offset by growth in education and nursing. Blitz campaigns declined sharply from 713 leads in 2024 to 180 in 2025. The review also identified critical gaps in conversion tracking from lead to enrollment and opportunities for differentiated pricing by program area, as well as a potential $750K savings opportunity through publisher contract renegotiation.</w:t>
      </w:r>
    </w:p>
    <w:p>
      <w:pPr>
        <w:pStyle w:val="Heading2"/>
      </w:pPr>
      <w:r>
        <w:t>Next Steps:</w:t>
      </w:r>
    </w:p>
    <w:p>
      <w:pPr>
        <w:pStyle w:val="ListParagraph"/>
      </w:pPr>
      <w:r>
        <w:t>Work with Jason and data team to fix Salesforce-to-enrollment conversion tracking pipeline</w:t>
      </w:r>
    </w:p>
    <w:p>
      <w:pPr>
        <w:pStyle w:val="ListParagraph"/>
      </w:pPr>
      <w:r>
        <w:t>Conduct total addressable market analysis by program area</w:t>
      </w:r>
    </w:p>
    <w:p>
      <w:pPr>
        <w:pStyle w:val="ListParagraph"/>
      </w:pPr>
      <w:r>
        <w:t>Investigate publisher contract renegotiation opportunity on the $15-18M annual spend</w:t>
      </w:r>
    </w:p>
    <w:p>
      <w:pPr>
        <w:pStyle w:val="ListParagraph"/>
      </w:pPr>
      <w:r>
        <w:t>Begin pulling and organizing Omega reports to support recurring executive reporting</w:t>
      </w:r>
    </w:p>
    <w:p>
      <w:pPr>
        <w:pStyle w:val="Heading1"/>
      </w:pPr>
      <w:r>
        <w:t>Productizing Workforce Development Services</w:t>
      </w:r>
    </w:p>
    <w:p>
      <w:pPr/>
      <w:r>
        <w:t>Meetings with IDT Director Tom Heitman validated the approach of standardizing custom curriculum delivery as a repeatable partnership model. The LVT micro-credential is nearing completion and serves as a template alongside Green Training Services and the CTR initiative. Tom provided a structured intake framework for new partners covering duration, format, branding, platform, and credentialing requirements. The team identified at least six active custom curriculum projects across multiple industry verticals and agreed to establish quarterly check-ins between Business Development and IDT to maintain alignment.</w:t>
      </w:r>
    </w:p>
    <w:p>
      <w:pPr>
        <w:pStyle w:val="Heading2"/>
      </w:pPr>
      <w:r>
        <w:t>Next Steps:</w:t>
      </w:r>
    </w:p>
    <w:p>
      <w:pPr>
        <w:pStyle w:val="ListParagraph"/>
      </w:pPr>
      <w:r>
        <w:t>Create a standardized "launch kit" and intake questionnaire for new custom curriculum partners</w:t>
      </w:r>
    </w:p>
    <w:p>
      <w:pPr>
        <w:pStyle w:val="ListParagraph"/>
      </w:pPr>
      <w:r>
        <w:t>Document the LVT partnership model as a replicable template</w:t>
      </w:r>
    </w:p>
    <w:p>
      <w:pPr>
        <w:pStyle w:val="ListParagraph"/>
      </w:pPr>
      <w:r>
        <w:t>Establish quarterly BD-IDT check-in cadence</w:t>
      </w:r>
    </w:p>
    <w:p>
      <w:pPr>
        <w:pStyle w:val="ListParagraph"/>
      </w:pPr>
      <w:r>
        <w:t>Schedule LVT leadership meeting at the upcoming S3 Summit in Utah</w:t>
      </w:r>
    </w:p>
    <w:p>
      <w:pPr>
        <w:pStyle w:val="Heading1"/>
      </w:pPr>
      <w:r>
        <w:t>Rural Healthcare Funding Opportunity</w:t>
      </w:r>
    </w:p>
    <w:p>
      <w:pPr/>
      <w:r>
        <w:t>Tony identified a significant federal funding initiative directing $50 billion to support rural hospitals nationwide. Alabama alone is receiving $203 million annually, with 75% directed toward education. Rural hospitals are transitioning to emergency stabilize-and-transport roles, creating demand for education in healthcare informatics and EMS operations. This represents a potential new market where CSU's existing programs in healthcare, EMS, and technology could align with funded institutional retraining needs. The opportunity was flagged for further investigation to determine viability at the Business Development level.</w:t>
      </w:r>
    </w:p>
    <w:p>
      <w:pPr>
        <w:pStyle w:val="Heading2"/>
      </w:pPr>
      <w:r>
        <w:t>Next Steps:</w:t>
      </w:r>
    </w:p>
    <w:p>
      <w:pPr>
        <w:pStyle w:val="ListParagraph"/>
      </w:pPr>
      <w:r>
        <w:t>Research Alabama rural hospital funding distribution channels and decision-makers</w:t>
      </w:r>
    </w:p>
    <w:p>
      <w:pPr>
        <w:pStyle w:val="ListParagraph"/>
      </w:pPr>
      <w:r>
        <w:t>Evaluate alignment between CSU program offerings and rural healthcare education needs</w:t>
      </w:r>
    </w:p>
    <w:p>
      <w:pPr>
        <w:pStyle w:val="ListParagraph"/>
      </w:pPr>
      <w:r>
        <w:t>Determine feasibility of pursuing rural healthcare partnerships as a 2026 initiative</w:t>
      </w:r>
    </w:p>
    <w:sectPr w:rsidR="00B61F3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F8367" w14:textId="77777777" w:rsidR="00AC6EB2" w:rsidRDefault="00AC6EB2" w:rsidP="00AC6EB2">
      <w:r>
        <w:separator/>
      </w:r>
    </w:p>
  </w:endnote>
  <w:endnote w:type="continuationSeparator" w:id="0">
    <w:p w14:paraId="795589AF" w14:textId="77777777" w:rsidR="00AC6EB2" w:rsidRDefault="00AC6EB2" w:rsidP="00AC6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6368845"/>
      <w:docPartObj>
        <w:docPartGallery w:val="Page Numbers (Bottom of Page)"/>
        <w:docPartUnique/>
      </w:docPartObj>
    </w:sdtPr>
    <w:sdtEndPr>
      <w:rPr>
        <w:color w:val="7F7F7F" w:themeColor="background1" w:themeShade="7F"/>
        <w:spacing w:val="60"/>
        <w:sz w:val="20"/>
        <w:szCs w:val="20"/>
      </w:rPr>
    </w:sdtEndPr>
    <w:sdtContent>
      <w:p w14:paraId="0CF87AAC" w14:textId="325E01B3" w:rsidR="00AC6EB2" w:rsidRPr="00AC6EB2" w:rsidRDefault="00AC6EB2">
        <w:pPr>
          <w:pStyle w:val="Footer"/>
          <w:pBdr>
            <w:top w:val="single" w:sz="4" w:space="1" w:color="D9D9D9" w:themeColor="background1" w:themeShade="D9"/>
          </w:pBdr>
          <w:jc w:val="right"/>
          <w:rPr>
            <w:sz w:val="20"/>
            <w:szCs w:val="20"/>
          </w:rPr>
        </w:pPr>
        <w:r w:rsidRPr="00AC6EB2">
          <w:rPr>
            <w:sz w:val="20"/>
            <w:szCs w:val="20"/>
          </w:rPr>
          <w:fldChar w:fldCharType="begin"/>
        </w:r>
        <w:r w:rsidRPr="00AC6EB2">
          <w:rPr>
            <w:sz w:val="20"/>
            <w:szCs w:val="20"/>
          </w:rPr>
          <w:instrText xml:space="preserve"> PAGE   \* MERGEFORMAT </w:instrText>
        </w:r>
        <w:r w:rsidRPr="00AC6EB2">
          <w:rPr>
            <w:sz w:val="20"/>
            <w:szCs w:val="20"/>
          </w:rPr>
          <w:fldChar w:fldCharType="separate"/>
        </w:r>
        <w:r w:rsidRPr="00AC6EB2">
          <w:rPr>
            <w:noProof/>
            <w:sz w:val="20"/>
            <w:szCs w:val="20"/>
          </w:rPr>
          <w:t>2</w:t>
        </w:r>
        <w:r w:rsidRPr="00AC6EB2">
          <w:rPr>
            <w:noProof/>
            <w:sz w:val="20"/>
            <w:szCs w:val="20"/>
          </w:rPr>
          <w:fldChar w:fldCharType="end"/>
        </w:r>
        <w:r w:rsidRPr="00AC6EB2">
          <w:rPr>
            <w:sz w:val="20"/>
            <w:szCs w:val="20"/>
          </w:rPr>
          <w:t xml:space="preserve"> | </w:t>
        </w:r>
        <w:r w:rsidRPr="00AC6EB2">
          <w:rPr>
            <w:color w:val="7F7F7F" w:themeColor="background1" w:themeShade="7F"/>
            <w:spacing w:val="60"/>
            <w:sz w:val="20"/>
            <w:szCs w:val="20"/>
          </w:rPr>
          <w:t>Page</w:t>
        </w:r>
      </w:p>
    </w:sdtContent>
  </w:sdt>
  <w:p w14:paraId="7F9AE72E" w14:textId="77777777" w:rsidR="00AC6EB2" w:rsidRDefault="00AC6E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6DCDC" w14:textId="77777777" w:rsidR="00AC6EB2" w:rsidRDefault="00AC6EB2" w:rsidP="00AC6EB2">
      <w:r>
        <w:separator/>
      </w:r>
    </w:p>
  </w:footnote>
  <w:footnote w:type="continuationSeparator" w:id="0">
    <w:p w14:paraId="160A1568" w14:textId="77777777" w:rsidR="00AC6EB2" w:rsidRDefault="00AC6EB2" w:rsidP="00AC6E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974E5"/>
    <w:multiLevelType w:val="hybridMultilevel"/>
    <w:tmpl w:val="7CFA064A"/>
    <w:lvl w:ilvl="0" w:tplc="7FE854A8">
      <w:start w:val="1"/>
      <w:numFmt w:val="bullet"/>
      <w:lvlText w:val="•"/>
      <w:lvlJc w:val="left"/>
      <w:pPr>
        <w:ind w:left="720" w:hanging="360"/>
      </w:pPr>
    </w:lvl>
    <w:lvl w:ilvl="1" w:tplc="0352A288">
      <w:numFmt w:val="decimal"/>
      <w:lvlText w:val=""/>
      <w:lvlJc w:val="left"/>
    </w:lvl>
    <w:lvl w:ilvl="2" w:tplc="A7F60D7A">
      <w:numFmt w:val="decimal"/>
      <w:lvlText w:val=""/>
      <w:lvlJc w:val="left"/>
    </w:lvl>
    <w:lvl w:ilvl="3" w:tplc="463A6B5A">
      <w:numFmt w:val="decimal"/>
      <w:lvlText w:val=""/>
      <w:lvlJc w:val="left"/>
    </w:lvl>
    <w:lvl w:ilvl="4" w:tplc="DCCC2D08">
      <w:numFmt w:val="decimal"/>
      <w:lvlText w:val=""/>
      <w:lvlJc w:val="left"/>
    </w:lvl>
    <w:lvl w:ilvl="5" w:tplc="F8D8150E">
      <w:numFmt w:val="decimal"/>
      <w:lvlText w:val=""/>
      <w:lvlJc w:val="left"/>
    </w:lvl>
    <w:lvl w:ilvl="6" w:tplc="16A40DA6">
      <w:numFmt w:val="decimal"/>
      <w:lvlText w:val=""/>
      <w:lvlJc w:val="left"/>
    </w:lvl>
    <w:lvl w:ilvl="7" w:tplc="DDF8144E">
      <w:numFmt w:val="decimal"/>
      <w:lvlText w:val=""/>
      <w:lvlJc w:val="left"/>
    </w:lvl>
    <w:lvl w:ilvl="8" w:tplc="39A26B80">
      <w:numFmt w:val="decimal"/>
      <w:lvlText w:val=""/>
      <w:lvlJc w:val="left"/>
    </w:lvl>
  </w:abstractNum>
  <w:abstractNum w:abstractNumId="1" w15:restartNumberingAfterBreak="0">
    <w:nsid w:val="0FB8462B"/>
    <w:multiLevelType w:val="hybridMultilevel"/>
    <w:tmpl w:val="208C195A"/>
    <w:lvl w:ilvl="0" w:tplc="F63A918E">
      <w:start w:val="1"/>
      <w:numFmt w:val="bullet"/>
      <w:lvlText w:val="•"/>
      <w:lvlJc w:val="left"/>
      <w:pPr>
        <w:ind w:left="720" w:hanging="360"/>
      </w:pPr>
    </w:lvl>
    <w:lvl w:ilvl="1" w:tplc="9856B828">
      <w:numFmt w:val="decimal"/>
      <w:lvlText w:val=""/>
      <w:lvlJc w:val="left"/>
    </w:lvl>
    <w:lvl w:ilvl="2" w:tplc="8F7C06B6">
      <w:numFmt w:val="decimal"/>
      <w:lvlText w:val=""/>
      <w:lvlJc w:val="left"/>
    </w:lvl>
    <w:lvl w:ilvl="3" w:tplc="E66EA6C4">
      <w:numFmt w:val="decimal"/>
      <w:lvlText w:val=""/>
      <w:lvlJc w:val="left"/>
    </w:lvl>
    <w:lvl w:ilvl="4" w:tplc="478AC622">
      <w:numFmt w:val="decimal"/>
      <w:lvlText w:val=""/>
      <w:lvlJc w:val="left"/>
    </w:lvl>
    <w:lvl w:ilvl="5" w:tplc="B57C08A6">
      <w:numFmt w:val="decimal"/>
      <w:lvlText w:val=""/>
      <w:lvlJc w:val="left"/>
    </w:lvl>
    <w:lvl w:ilvl="6" w:tplc="205E26BE">
      <w:numFmt w:val="decimal"/>
      <w:lvlText w:val=""/>
      <w:lvlJc w:val="left"/>
    </w:lvl>
    <w:lvl w:ilvl="7" w:tplc="C1CEB1BC">
      <w:numFmt w:val="decimal"/>
      <w:lvlText w:val=""/>
      <w:lvlJc w:val="left"/>
    </w:lvl>
    <w:lvl w:ilvl="8" w:tplc="E9F0390E">
      <w:numFmt w:val="decimal"/>
      <w:lvlText w:val=""/>
      <w:lvlJc w:val="left"/>
    </w:lvl>
  </w:abstractNum>
  <w:abstractNum w:abstractNumId="2" w15:restartNumberingAfterBreak="0">
    <w:nsid w:val="27063FCA"/>
    <w:multiLevelType w:val="hybridMultilevel"/>
    <w:tmpl w:val="AEA0AC06"/>
    <w:lvl w:ilvl="0" w:tplc="FE1E5D2E">
      <w:start w:val="1"/>
      <w:numFmt w:val="bullet"/>
      <w:lvlText w:val="•"/>
      <w:lvlJc w:val="left"/>
      <w:pPr>
        <w:ind w:left="720" w:hanging="360"/>
      </w:pPr>
    </w:lvl>
    <w:lvl w:ilvl="1" w:tplc="18001C98">
      <w:numFmt w:val="decimal"/>
      <w:lvlText w:val=""/>
      <w:lvlJc w:val="left"/>
    </w:lvl>
    <w:lvl w:ilvl="2" w:tplc="363AC27E">
      <w:numFmt w:val="decimal"/>
      <w:lvlText w:val=""/>
      <w:lvlJc w:val="left"/>
    </w:lvl>
    <w:lvl w:ilvl="3" w:tplc="D6145C2E">
      <w:numFmt w:val="decimal"/>
      <w:lvlText w:val=""/>
      <w:lvlJc w:val="left"/>
    </w:lvl>
    <w:lvl w:ilvl="4" w:tplc="D8943790">
      <w:numFmt w:val="decimal"/>
      <w:lvlText w:val=""/>
      <w:lvlJc w:val="left"/>
    </w:lvl>
    <w:lvl w:ilvl="5" w:tplc="017E9204">
      <w:numFmt w:val="decimal"/>
      <w:lvlText w:val=""/>
      <w:lvlJc w:val="left"/>
    </w:lvl>
    <w:lvl w:ilvl="6" w:tplc="2A5C64A0">
      <w:numFmt w:val="decimal"/>
      <w:lvlText w:val=""/>
      <w:lvlJc w:val="left"/>
    </w:lvl>
    <w:lvl w:ilvl="7" w:tplc="B5F8622A">
      <w:numFmt w:val="decimal"/>
      <w:lvlText w:val=""/>
      <w:lvlJc w:val="left"/>
    </w:lvl>
    <w:lvl w:ilvl="8" w:tplc="4A786DEA">
      <w:numFmt w:val="decimal"/>
      <w:lvlText w:val=""/>
      <w:lvlJc w:val="left"/>
    </w:lvl>
  </w:abstractNum>
  <w:abstractNum w:abstractNumId="3" w15:restartNumberingAfterBreak="0">
    <w:nsid w:val="29C65611"/>
    <w:multiLevelType w:val="hybridMultilevel"/>
    <w:tmpl w:val="45DC7F52"/>
    <w:lvl w:ilvl="0" w:tplc="0A06092E">
      <w:start w:val="1"/>
      <w:numFmt w:val="bullet"/>
      <w:lvlText w:val="•"/>
      <w:lvlJc w:val="left"/>
      <w:pPr>
        <w:ind w:left="720" w:hanging="360"/>
      </w:pPr>
    </w:lvl>
    <w:lvl w:ilvl="1" w:tplc="9E3C0A66">
      <w:numFmt w:val="decimal"/>
      <w:lvlText w:val=""/>
      <w:lvlJc w:val="left"/>
    </w:lvl>
    <w:lvl w:ilvl="2" w:tplc="64A0C84E">
      <w:numFmt w:val="decimal"/>
      <w:lvlText w:val=""/>
      <w:lvlJc w:val="left"/>
    </w:lvl>
    <w:lvl w:ilvl="3" w:tplc="0BEEF9C4">
      <w:numFmt w:val="decimal"/>
      <w:lvlText w:val=""/>
      <w:lvlJc w:val="left"/>
    </w:lvl>
    <w:lvl w:ilvl="4" w:tplc="72AEF878">
      <w:numFmt w:val="decimal"/>
      <w:lvlText w:val=""/>
      <w:lvlJc w:val="left"/>
    </w:lvl>
    <w:lvl w:ilvl="5" w:tplc="BD8879C6">
      <w:numFmt w:val="decimal"/>
      <w:lvlText w:val=""/>
      <w:lvlJc w:val="left"/>
    </w:lvl>
    <w:lvl w:ilvl="6" w:tplc="198C71C0">
      <w:numFmt w:val="decimal"/>
      <w:lvlText w:val=""/>
      <w:lvlJc w:val="left"/>
    </w:lvl>
    <w:lvl w:ilvl="7" w:tplc="5F6E91FE">
      <w:numFmt w:val="decimal"/>
      <w:lvlText w:val=""/>
      <w:lvlJc w:val="left"/>
    </w:lvl>
    <w:lvl w:ilvl="8" w:tplc="6018F7EA">
      <w:numFmt w:val="decimal"/>
      <w:lvlText w:val=""/>
      <w:lvlJc w:val="left"/>
    </w:lvl>
  </w:abstractNum>
  <w:abstractNum w:abstractNumId="4" w15:restartNumberingAfterBreak="0">
    <w:nsid w:val="33230BC8"/>
    <w:multiLevelType w:val="hybridMultilevel"/>
    <w:tmpl w:val="5A1C3858"/>
    <w:lvl w:ilvl="0" w:tplc="FF1EB1A4">
      <w:start w:val="1"/>
      <w:numFmt w:val="bullet"/>
      <w:lvlText w:val="•"/>
      <w:lvlJc w:val="left"/>
      <w:pPr>
        <w:ind w:left="720" w:hanging="360"/>
      </w:pPr>
    </w:lvl>
    <w:lvl w:ilvl="1" w:tplc="86A03670">
      <w:numFmt w:val="decimal"/>
      <w:lvlText w:val=""/>
      <w:lvlJc w:val="left"/>
    </w:lvl>
    <w:lvl w:ilvl="2" w:tplc="DD5827B4">
      <w:numFmt w:val="decimal"/>
      <w:lvlText w:val=""/>
      <w:lvlJc w:val="left"/>
    </w:lvl>
    <w:lvl w:ilvl="3" w:tplc="9404C196">
      <w:numFmt w:val="decimal"/>
      <w:lvlText w:val=""/>
      <w:lvlJc w:val="left"/>
    </w:lvl>
    <w:lvl w:ilvl="4" w:tplc="46545DB6">
      <w:numFmt w:val="decimal"/>
      <w:lvlText w:val=""/>
      <w:lvlJc w:val="left"/>
    </w:lvl>
    <w:lvl w:ilvl="5" w:tplc="6EC6420E">
      <w:numFmt w:val="decimal"/>
      <w:lvlText w:val=""/>
      <w:lvlJc w:val="left"/>
    </w:lvl>
    <w:lvl w:ilvl="6" w:tplc="7BB8A766">
      <w:numFmt w:val="decimal"/>
      <w:lvlText w:val=""/>
      <w:lvlJc w:val="left"/>
    </w:lvl>
    <w:lvl w:ilvl="7" w:tplc="A1A4C1C2">
      <w:numFmt w:val="decimal"/>
      <w:lvlText w:val=""/>
      <w:lvlJc w:val="left"/>
    </w:lvl>
    <w:lvl w:ilvl="8" w:tplc="B02029C6">
      <w:numFmt w:val="decimal"/>
      <w:lvlText w:val=""/>
      <w:lvlJc w:val="left"/>
    </w:lvl>
  </w:abstractNum>
  <w:abstractNum w:abstractNumId="5" w15:restartNumberingAfterBreak="0">
    <w:nsid w:val="37CC5071"/>
    <w:multiLevelType w:val="hybridMultilevel"/>
    <w:tmpl w:val="73806CD2"/>
    <w:lvl w:ilvl="0" w:tplc="54628FA4">
      <w:start w:val="1"/>
      <w:numFmt w:val="bullet"/>
      <w:lvlText w:val="●"/>
      <w:lvlJc w:val="left"/>
      <w:pPr>
        <w:ind w:left="720" w:hanging="360"/>
      </w:pPr>
    </w:lvl>
    <w:lvl w:ilvl="1" w:tplc="17464958">
      <w:start w:val="1"/>
      <w:numFmt w:val="bullet"/>
      <w:lvlText w:val="○"/>
      <w:lvlJc w:val="left"/>
      <w:pPr>
        <w:ind w:left="1440" w:hanging="360"/>
      </w:pPr>
    </w:lvl>
    <w:lvl w:ilvl="2" w:tplc="099C291C">
      <w:start w:val="1"/>
      <w:numFmt w:val="bullet"/>
      <w:lvlText w:val="■"/>
      <w:lvlJc w:val="left"/>
      <w:pPr>
        <w:ind w:left="2160" w:hanging="360"/>
      </w:pPr>
    </w:lvl>
    <w:lvl w:ilvl="3" w:tplc="705C14DC">
      <w:start w:val="1"/>
      <w:numFmt w:val="bullet"/>
      <w:lvlText w:val="●"/>
      <w:lvlJc w:val="left"/>
      <w:pPr>
        <w:ind w:left="2880" w:hanging="360"/>
      </w:pPr>
    </w:lvl>
    <w:lvl w:ilvl="4" w:tplc="7CA0A4DE">
      <w:start w:val="1"/>
      <w:numFmt w:val="bullet"/>
      <w:lvlText w:val="○"/>
      <w:lvlJc w:val="left"/>
      <w:pPr>
        <w:ind w:left="3600" w:hanging="360"/>
      </w:pPr>
    </w:lvl>
    <w:lvl w:ilvl="5" w:tplc="61DA3C00">
      <w:start w:val="1"/>
      <w:numFmt w:val="bullet"/>
      <w:lvlText w:val="■"/>
      <w:lvlJc w:val="left"/>
      <w:pPr>
        <w:ind w:left="4320" w:hanging="360"/>
      </w:pPr>
    </w:lvl>
    <w:lvl w:ilvl="6" w:tplc="17C65172">
      <w:start w:val="1"/>
      <w:numFmt w:val="bullet"/>
      <w:lvlText w:val="●"/>
      <w:lvlJc w:val="left"/>
      <w:pPr>
        <w:ind w:left="5040" w:hanging="360"/>
      </w:pPr>
    </w:lvl>
    <w:lvl w:ilvl="7" w:tplc="F17A792C">
      <w:start w:val="1"/>
      <w:numFmt w:val="bullet"/>
      <w:lvlText w:val="●"/>
      <w:lvlJc w:val="left"/>
      <w:pPr>
        <w:ind w:left="5760" w:hanging="360"/>
      </w:pPr>
    </w:lvl>
    <w:lvl w:ilvl="8" w:tplc="1C3C959C">
      <w:start w:val="1"/>
      <w:numFmt w:val="bullet"/>
      <w:lvlText w:val="●"/>
      <w:lvlJc w:val="left"/>
      <w:pPr>
        <w:ind w:left="6480" w:hanging="360"/>
      </w:pPr>
    </w:lvl>
  </w:abstractNum>
  <w:abstractNum w:abstractNumId="6" w15:restartNumberingAfterBreak="0">
    <w:nsid w:val="489A7796"/>
    <w:multiLevelType w:val="multilevel"/>
    <w:tmpl w:val="207A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1104B2"/>
    <w:multiLevelType w:val="hybridMultilevel"/>
    <w:tmpl w:val="A6A8EF0C"/>
    <w:lvl w:ilvl="0" w:tplc="4E8A870A">
      <w:start w:val="1"/>
      <w:numFmt w:val="bullet"/>
      <w:lvlText w:val="•"/>
      <w:lvlJc w:val="left"/>
      <w:pPr>
        <w:ind w:left="720" w:hanging="360"/>
      </w:pPr>
    </w:lvl>
    <w:lvl w:ilvl="1" w:tplc="19B80C10">
      <w:numFmt w:val="decimal"/>
      <w:lvlText w:val=""/>
      <w:lvlJc w:val="left"/>
    </w:lvl>
    <w:lvl w:ilvl="2" w:tplc="13D2B6BC">
      <w:numFmt w:val="decimal"/>
      <w:lvlText w:val=""/>
      <w:lvlJc w:val="left"/>
    </w:lvl>
    <w:lvl w:ilvl="3" w:tplc="DEF054CA">
      <w:numFmt w:val="decimal"/>
      <w:lvlText w:val=""/>
      <w:lvlJc w:val="left"/>
    </w:lvl>
    <w:lvl w:ilvl="4" w:tplc="3D44BFBE">
      <w:numFmt w:val="decimal"/>
      <w:lvlText w:val=""/>
      <w:lvlJc w:val="left"/>
    </w:lvl>
    <w:lvl w:ilvl="5" w:tplc="7AB8754A">
      <w:numFmt w:val="decimal"/>
      <w:lvlText w:val=""/>
      <w:lvlJc w:val="left"/>
    </w:lvl>
    <w:lvl w:ilvl="6" w:tplc="041611C8">
      <w:numFmt w:val="decimal"/>
      <w:lvlText w:val=""/>
      <w:lvlJc w:val="left"/>
    </w:lvl>
    <w:lvl w:ilvl="7" w:tplc="A65A57AA">
      <w:numFmt w:val="decimal"/>
      <w:lvlText w:val=""/>
      <w:lvlJc w:val="left"/>
    </w:lvl>
    <w:lvl w:ilvl="8" w:tplc="A68CE66E">
      <w:numFmt w:val="decimal"/>
      <w:lvlText w:val=""/>
      <w:lvlJc w:val="left"/>
    </w:lvl>
  </w:abstractNum>
  <w:abstractNum w:abstractNumId="8" w15:restartNumberingAfterBreak="0">
    <w:nsid w:val="5B406C7E"/>
    <w:multiLevelType w:val="hybridMultilevel"/>
    <w:tmpl w:val="D0C239DC"/>
    <w:lvl w:ilvl="0" w:tplc="024ECBD0">
      <w:start w:val="1"/>
      <w:numFmt w:val="bullet"/>
      <w:lvlText w:val="•"/>
      <w:lvlJc w:val="left"/>
      <w:pPr>
        <w:ind w:left="720" w:hanging="360"/>
      </w:pPr>
    </w:lvl>
    <w:lvl w:ilvl="1" w:tplc="771AC532">
      <w:numFmt w:val="decimal"/>
      <w:lvlText w:val=""/>
      <w:lvlJc w:val="left"/>
    </w:lvl>
    <w:lvl w:ilvl="2" w:tplc="88E077FC">
      <w:numFmt w:val="decimal"/>
      <w:lvlText w:val=""/>
      <w:lvlJc w:val="left"/>
    </w:lvl>
    <w:lvl w:ilvl="3" w:tplc="A5483D52">
      <w:numFmt w:val="decimal"/>
      <w:lvlText w:val=""/>
      <w:lvlJc w:val="left"/>
    </w:lvl>
    <w:lvl w:ilvl="4" w:tplc="070A805E">
      <w:numFmt w:val="decimal"/>
      <w:lvlText w:val=""/>
      <w:lvlJc w:val="left"/>
    </w:lvl>
    <w:lvl w:ilvl="5" w:tplc="160ABB1A">
      <w:numFmt w:val="decimal"/>
      <w:lvlText w:val=""/>
      <w:lvlJc w:val="left"/>
    </w:lvl>
    <w:lvl w:ilvl="6" w:tplc="513A7D28">
      <w:numFmt w:val="decimal"/>
      <w:lvlText w:val=""/>
      <w:lvlJc w:val="left"/>
    </w:lvl>
    <w:lvl w:ilvl="7" w:tplc="DFB2537C">
      <w:numFmt w:val="decimal"/>
      <w:lvlText w:val=""/>
      <w:lvlJc w:val="left"/>
    </w:lvl>
    <w:lvl w:ilvl="8" w:tplc="48B4772E">
      <w:numFmt w:val="decimal"/>
      <w:lvlText w:val=""/>
      <w:lvlJc w:val="left"/>
    </w:lvl>
  </w:abstractNum>
  <w:abstractNum w:abstractNumId="9" w15:restartNumberingAfterBreak="0">
    <w:nsid w:val="65745EE9"/>
    <w:multiLevelType w:val="hybridMultilevel"/>
    <w:tmpl w:val="C128B122"/>
    <w:lvl w:ilvl="0" w:tplc="1D187E8A">
      <w:start w:val="1"/>
      <w:numFmt w:val="bullet"/>
      <w:lvlText w:val="•"/>
      <w:lvlJc w:val="left"/>
      <w:pPr>
        <w:ind w:left="720" w:hanging="360"/>
      </w:pPr>
    </w:lvl>
    <w:lvl w:ilvl="1" w:tplc="FCBC7C40">
      <w:numFmt w:val="decimal"/>
      <w:lvlText w:val=""/>
      <w:lvlJc w:val="left"/>
    </w:lvl>
    <w:lvl w:ilvl="2" w:tplc="327055CE">
      <w:numFmt w:val="decimal"/>
      <w:lvlText w:val=""/>
      <w:lvlJc w:val="left"/>
    </w:lvl>
    <w:lvl w:ilvl="3" w:tplc="4872CF52">
      <w:numFmt w:val="decimal"/>
      <w:lvlText w:val=""/>
      <w:lvlJc w:val="left"/>
    </w:lvl>
    <w:lvl w:ilvl="4" w:tplc="044A0C9C">
      <w:numFmt w:val="decimal"/>
      <w:lvlText w:val=""/>
      <w:lvlJc w:val="left"/>
    </w:lvl>
    <w:lvl w:ilvl="5" w:tplc="07360A14">
      <w:numFmt w:val="decimal"/>
      <w:lvlText w:val=""/>
      <w:lvlJc w:val="left"/>
    </w:lvl>
    <w:lvl w:ilvl="6" w:tplc="085AD92C">
      <w:numFmt w:val="decimal"/>
      <w:lvlText w:val=""/>
      <w:lvlJc w:val="left"/>
    </w:lvl>
    <w:lvl w:ilvl="7" w:tplc="E9D2D514">
      <w:numFmt w:val="decimal"/>
      <w:lvlText w:val=""/>
      <w:lvlJc w:val="left"/>
    </w:lvl>
    <w:lvl w:ilvl="8" w:tplc="12081DE4">
      <w:numFmt w:val="decimal"/>
      <w:lvlText w:val=""/>
      <w:lvlJc w:val="left"/>
    </w:lvl>
  </w:abstractNum>
  <w:abstractNum w:abstractNumId="10" w15:restartNumberingAfterBreak="0">
    <w:nsid w:val="6B487A85"/>
    <w:multiLevelType w:val="hybridMultilevel"/>
    <w:tmpl w:val="36BE8FD0"/>
    <w:lvl w:ilvl="0" w:tplc="AF283942">
      <w:start w:val="1"/>
      <w:numFmt w:val="bullet"/>
      <w:lvlText w:val="•"/>
      <w:lvlJc w:val="left"/>
      <w:pPr>
        <w:ind w:left="720" w:hanging="360"/>
      </w:pPr>
    </w:lvl>
    <w:lvl w:ilvl="1" w:tplc="F3BE75A2">
      <w:numFmt w:val="decimal"/>
      <w:lvlText w:val=""/>
      <w:lvlJc w:val="left"/>
    </w:lvl>
    <w:lvl w:ilvl="2" w:tplc="4C78EAA2">
      <w:numFmt w:val="decimal"/>
      <w:lvlText w:val=""/>
      <w:lvlJc w:val="left"/>
    </w:lvl>
    <w:lvl w:ilvl="3" w:tplc="020E18AE">
      <w:numFmt w:val="decimal"/>
      <w:lvlText w:val=""/>
      <w:lvlJc w:val="left"/>
    </w:lvl>
    <w:lvl w:ilvl="4" w:tplc="54B866DC">
      <w:numFmt w:val="decimal"/>
      <w:lvlText w:val=""/>
      <w:lvlJc w:val="left"/>
    </w:lvl>
    <w:lvl w:ilvl="5" w:tplc="99E8C414">
      <w:numFmt w:val="decimal"/>
      <w:lvlText w:val=""/>
      <w:lvlJc w:val="left"/>
    </w:lvl>
    <w:lvl w:ilvl="6" w:tplc="A8FAFA6E">
      <w:numFmt w:val="decimal"/>
      <w:lvlText w:val=""/>
      <w:lvlJc w:val="left"/>
    </w:lvl>
    <w:lvl w:ilvl="7" w:tplc="ED2EAC16">
      <w:numFmt w:val="decimal"/>
      <w:lvlText w:val=""/>
      <w:lvlJc w:val="left"/>
    </w:lvl>
    <w:lvl w:ilvl="8" w:tplc="38D81A1C">
      <w:numFmt w:val="decimal"/>
      <w:lvlText w:val=""/>
      <w:lvlJc w:val="left"/>
    </w:lvl>
  </w:abstractNum>
  <w:abstractNum w:abstractNumId="11" w15:restartNumberingAfterBreak="0">
    <w:nsid w:val="757B40D0"/>
    <w:multiLevelType w:val="hybridMultilevel"/>
    <w:tmpl w:val="5860AD42"/>
    <w:lvl w:ilvl="0" w:tplc="6FF0E602">
      <w:start w:val="1"/>
      <w:numFmt w:val="bullet"/>
      <w:lvlText w:val="•"/>
      <w:lvlJc w:val="left"/>
      <w:pPr>
        <w:ind w:left="720" w:hanging="360"/>
      </w:pPr>
    </w:lvl>
    <w:lvl w:ilvl="1" w:tplc="6E38FDFC">
      <w:numFmt w:val="decimal"/>
      <w:lvlText w:val=""/>
      <w:lvlJc w:val="left"/>
    </w:lvl>
    <w:lvl w:ilvl="2" w:tplc="371C8C20">
      <w:numFmt w:val="decimal"/>
      <w:lvlText w:val=""/>
      <w:lvlJc w:val="left"/>
    </w:lvl>
    <w:lvl w:ilvl="3" w:tplc="0A887CAA">
      <w:numFmt w:val="decimal"/>
      <w:lvlText w:val=""/>
      <w:lvlJc w:val="left"/>
    </w:lvl>
    <w:lvl w:ilvl="4" w:tplc="ED428724">
      <w:numFmt w:val="decimal"/>
      <w:lvlText w:val=""/>
      <w:lvlJc w:val="left"/>
    </w:lvl>
    <w:lvl w:ilvl="5" w:tplc="FCBC847A">
      <w:numFmt w:val="decimal"/>
      <w:lvlText w:val=""/>
      <w:lvlJc w:val="left"/>
    </w:lvl>
    <w:lvl w:ilvl="6" w:tplc="E07A22E6">
      <w:numFmt w:val="decimal"/>
      <w:lvlText w:val=""/>
      <w:lvlJc w:val="left"/>
    </w:lvl>
    <w:lvl w:ilvl="7" w:tplc="528EA418">
      <w:numFmt w:val="decimal"/>
      <w:lvlText w:val=""/>
      <w:lvlJc w:val="left"/>
    </w:lvl>
    <w:lvl w:ilvl="8" w:tplc="A92A396C">
      <w:numFmt w:val="decimal"/>
      <w:lvlText w:val=""/>
      <w:lvlJc w:val="left"/>
    </w:lvl>
  </w:abstractNum>
  <w:num w:numId="1" w16cid:durableId="1461538218">
    <w:abstractNumId w:val="5"/>
    <w:lvlOverride w:ilvl="0">
      <w:startOverride w:val="1"/>
    </w:lvlOverride>
  </w:num>
  <w:num w:numId="2" w16cid:durableId="1755660420">
    <w:abstractNumId w:val="11"/>
    <w:lvlOverride w:ilvl="0">
      <w:startOverride w:val="1"/>
    </w:lvlOverride>
  </w:num>
  <w:num w:numId="3" w16cid:durableId="192961679">
    <w:abstractNumId w:val="10"/>
    <w:lvlOverride w:ilvl="0">
      <w:startOverride w:val="1"/>
    </w:lvlOverride>
  </w:num>
  <w:num w:numId="4" w16cid:durableId="1133596072">
    <w:abstractNumId w:val="9"/>
    <w:lvlOverride w:ilvl="0">
      <w:startOverride w:val="1"/>
    </w:lvlOverride>
  </w:num>
  <w:num w:numId="5" w16cid:durableId="1315255573">
    <w:abstractNumId w:val="3"/>
    <w:lvlOverride w:ilvl="0">
      <w:startOverride w:val="1"/>
    </w:lvlOverride>
  </w:num>
  <w:num w:numId="6" w16cid:durableId="1191993392">
    <w:abstractNumId w:val="1"/>
    <w:lvlOverride w:ilvl="0">
      <w:startOverride w:val="1"/>
    </w:lvlOverride>
  </w:num>
  <w:num w:numId="7" w16cid:durableId="1910265743">
    <w:abstractNumId w:val="7"/>
    <w:lvlOverride w:ilvl="0">
      <w:startOverride w:val="1"/>
    </w:lvlOverride>
  </w:num>
  <w:num w:numId="8" w16cid:durableId="479151420">
    <w:abstractNumId w:val="2"/>
    <w:lvlOverride w:ilvl="0">
      <w:startOverride w:val="1"/>
    </w:lvlOverride>
  </w:num>
  <w:num w:numId="9" w16cid:durableId="1444156791">
    <w:abstractNumId w:val="0"/>
    <w:lvlOverride w:ilvl="0">
      <w:startOverride w:val="1"/>
    </w:lvlOverride>
  </w:num>
  <w:num w:numId="10" w16cid:durableId="1737892729">
    <w:abstractNumId w:val="8"/>
    <w:lvlOverride w:ilvl="0">
      <w:startOverride w:val="1"/>
    </w:lvlOverride>
  </w:num>
  <w:num w:numId="11" w16cid:durableId="1622765491">
    <w:abstractNumId w:val="4"/>
    <w:lvlOverride w:ilvl="0">
      <w:startOverride w:val="1"/>
    </w:lvlOverride>
  </w:num>
  <w:num w:numId="12" w16cid:durableId="3237008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815"/>
    <w:rsid w:val="001722F7"/>
    <w:rsid w:val="00186826"/>
    <w:rsid w:val="001E2341"/>
    <w:rsid w:val="003E7640"/>
    <w:rsid w:val="0041736F"/>
    <w:rsid w:val="00444D7F"/>
    <w:rsid w:val="00493A66"/>
    <w:rsid w:val="004D39DB"/>
    <w:rsid w:val="004F5794"/>
    <w:rsid w:val="00522DDD"/>
    <w:rsid w:val="00620280"/>
    <w:rsid w:val="006C05BC"/>
    <w:rsid w:val="006D5BF0"/>
    <w:rsid w:val="00725D46"/>
    <w:rsid w:val="00884977"/>
    <w:rsid w:val="008F52F6"/>
    <w:rsid w:val="00956CDA"/>
    <w:rsid w:val="009B172B"/>
    <w:rsid w:val="009B3A25"/>
    <w:rsid w:val="00A00608"/>
    <w:rsid w:val="00A27815"/>
    <w:rsid w:val="00AC3BF7"/>
    <w:rsid w:val="00AC6EB2"/>
    <w:rsid w:val="00AF022F"/>
    <w:rsid w:val="00B51E98"/>
    <w:rsid w:val="00B61F39"/>
    <w:rsid w:val="00B905A3"/>
    <w:rsid w:val="00BB1645"/>
    <w:rsid w:val="00CD6F85"/>
    <w:rsid w:val="00CE6655"/>
    <w:rsid w:val="00D925BA"/>
    <w:rsid w:val="00DD1CC8"/>
    <w:rsid w:val="00DD5A64"/>
    <w:rsid w:val="00DD5DCF"/>
    <w:rsid w:val="00E9122F"/>
    <w:rsid w:val="00EC76B2"/>
    <w:rsid w:val="00F85780"/>
    <w:rsid w:val="00FF6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2ED0F"/>
  <w15:docId w15:val="{54265F46-A83E-4DF5-9A71-80E92252F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sz w:val="24"/>
      <w:szCs w:val="24"/>
    </w:rPr>
  </w:style>
  <w:style w:type="paragraph" w:styleId="Heading2">
    <w:name w:val="heading 2"/>
    <w:uiPriority w:val="9"/>
    <w:unhideWhenUsed/>
    <w:qFormat/>
    <w:pPr>
      <w:spacing w:before="200" w:after="8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pPr>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BB1645"/>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B1645"/>
    <w:rPr>
      <w:b/>
      <w:bCs/>
    </w:rPr>
  </w:style>
  <w:style w:type="paragraph" w:customStyle="1" w:styleId="whitespace-normal">
    <w:name w:val="whitespace-normal"/>
    <w:basedOn w:val="Normal"/>
    <w:rsid w:val="00BB1645"/>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C6EB2"/>
    <w:pPr>
      <w:tabs>
        <w:tab w:val="center" w:pos="4680"/>
        <w:tab w:val="right" w:pos="9360"/>
      </w:tabs>
    </w:pPr>
  </w:style>
  <w:style w:type="character" w:customStyle="1" w:styleId="HeaderChar">
    <w:name w:val="Header Char"/>
    <w:basedOn w:val="DefaultParagraphFont"/>
    <w:link w:val="Header"/>
    <w:uiPriority w:val="99"/>
    <w:rsid w:val="00AC6EB2"/>
  </w:style>
  <w:style w:type="paragraph" w:styleId="Footer">
    <w:name w:val="footer"/>
    <w:basedOn w:val="Normal"/>
    <w:link w:val="FooterChar"/>
    <w:uiPriority w:val="99"/>
    <w:unhideWhenUsed/>
    <w:rsid w:val="00AC6EB2"/>
    <w:pPr>
      <w:tabs>
        <w:tab w:val="center" w:pos="4680"/>
        <w:tab w:val="right" w:pos="9360"/>
      </w:tabs>
    </w:pPr>
  </w:style>
  <w:style w:type="character" w:customStyle="1" w:styleId="FooterChar">
    <w:name w:val="Footer Char"/>
    <w:basedOn w:val="DefaultParagraphFont"/>
    <w:link w:val="Footer"/>
    <w:uiPriority w:val="99"/>
    <w:rsid w:val="00AC6E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1591</Words>
  <Characters>9070</Characters>
  <Application>Microsoft Office Word</Application>
  <DocSecurity>0</DocSecurity>
  <Lines>75</Lines>
  <Paragraphs>21</Paragraphs>
  <ScaleCrop>false</ScaleCrop>
  <Company/>
  <LinksUpToDate>false</LinksUpToDate>
  <CharactersWithSpaces>10640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Severson</cp:lastModifiedBy>
  <cp:revision>37</cp:revision>
  <dcterms:created xsi:type="dcterms:W3CDTF">2026-01-02T22:34:00Z</dcterms:created>
  <dcterms:modified xsi:type="dcterms:W3CDTF">2026-01-02T23:17:00Z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44f95d66-a2ed-4815-8c86-359a4003f2e4</vt:lpwstr>
  </property>
</Properties>
</file>