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F172A"/>
          <w:sz w:val="36"/>
        </w:rPr>
        <w:t>Production MLOps Architecture for Computer Vision Quality Inspection &amp; Media Anomaly Detection</w:t>
      </w:r>
    </w:p>
    <w:p>
      <w:pPr>
        <w:spacing w:after="160"/>
      </w:pPr>
      <w:r>
        <w:rPr>
          <w:i/>
          <w:color w:val="475569"/>
          <w:sz w:val="20"/>
        </w:rPr>
        <w:t>Scenario 6 Case Study • End-to-End Ingestion, Foundation Embeddings, ONNX Serving &amp; Continuous Drift Monitoring</w:t>
      </w:r>
    </w:p>
    <w:tbl>
      <w:tblPr>
        <w:tblW w:type="auto" w:w="0"/>
        <w:jc w:val="center"/>
        <w:tblLook w:firstColumn="1" w:firstRow="1" w:lastColumn="0" w:lastRow="0" w:noHBand="0" w:noVBand="1" w:val="04A0"/>
      </w:tblPr>
      <w:tblGrid>
        <w:gridCol w:w="4896"/>
        <w:gridCol w:w="4896"/>
      </w:tblGrid>
      <w:tr>
        <w:tc>
          <w:tcPr>
            <w:tcW w:type="dxa" w:w="4896"/>
            <w:shd w:fill="f1f5f9"/>
            <w:tcMar>
              <w:top w:w="40" w:type="dxa"/>
              <w:bottom w:w="40" w:type="dxa"/>
              <w:left w:w="80" w:type="dxa"/>
              <w:right w:w="80" w:type="dxa"/>
            </w:tcMar>
          </w:tcPr>
          <w:p>
            <w:pPr>
              <w:spacing w:after="0"/>
            </w:pPr>
            <w:r>
              <w:rPr>
                <w:b/>
                <w:color w:val="1E293B"/>
                <w:sz w:val="17"/>
              </w:rPr>
              <w:t xml:space="preserve">Selected Scenario: </w:t>
            </w:r>
            <w:r>
              <w:rPr>
                <w:color w:val="334155"/>
                <w:sz w:val="17"/>
              </w:rPr>
              <w:t>Scenario 6: CV Quality Inspection &amp; Anomaly Detection</w:t>
            </w:r>
          </w:p>
        </w:tc>
        <w:tc>
          <w:tcPr>
            <w:tcW w:type="dxa" w:w="4896"/>
            <w:shd w:fill="f1f5f9"/>
            <w:tcMar>
              <w:top w:w="40" w:type="dxa"/>
              <w:bottom w:w="40" w:type="dxa"/>
              <w:left w:w="80" w:type="dxa"/>
              <w:right w:w="80" w:type="dxa"/>
            </w:tcMar>
          </w:tcPr>
          <w:p>
            <w:pPr>
              <w:spacing w:after="0"/>
            </w:pPr>
            <w:r>
              <w:rPr>
                <w:b/>
                <w:color w:val="1E293B"/>
                <w:sz w:val="17"/>
              </w:rPr>
              <w:t xml:space="preserve">Core Pipeline: </w:t>
            </w:r>
            <w:r>
              <w:rPr>
                <w:color w:val="334155"/>
                <w:sz w:val="17"/>
              </w:rPr>
              <w:t>Frozen CLIP ViT-B/32, 2D FFT Radial Spectrum, ONNX, MLflow, Evidently AI</w:t>
            </w:r>
          </w:p>
        </w:tc>
      </w:tr>
      <w:tr>
        <w:tc>
          <w:tcPr>
            <w:tcW w:type="dxa" w:w="4896"/>
            <w:shd w:fill="f1f5f9"/>
            <w:tcMar>
              <w:top w:w="40" w:type="dxa"/>
              <w:bottom w:w="40" w:type="dxa"/>
              <w:left w:w="80" w:type="dxa"/>
              <w:right w:w="80" w:type="dxa"/>
            </w:tcMar>
          </w:tcPr>
          <w:p>
            <w:pPr>
              <w:spacing w:after="0"/>
            </w:pPr>
            <w:r>
              <w:rPr>
                <w:b/>
                <w:color w:val="1E293B"/>
                <w:sz w:val="17"/>
              </w:rPr>
              <w:t xml:space="preserve">Operational Target: </w:t>
            </w:r>
            <w:r>
              <w:rPr>
                <w:color w:val="334155"/>
                <w:sz w:val="17"/>
              </w:rPr>
              <w:t>Sub-50ms Inference SLA, &lt;1.5% FPR, Closed-Loop Retraining</w:t>
            </w:r>
          </w:p>
        </w:tc>
        <w:tc>
          <w:tcPr>
            <w:tcW w:type="dxa" w:w="4896"/>
            <w:shd w:fill="f1f5f9"/>
            <w:tcMar>
              <w:top w:w="40" w:type="dxa"/>
              <w:bottom w:w="40" w:type="dxa"/>
              <w:left w:w="80" w:type="dxa"/>
              <w:right w:w="80" w:type="dxa"/>
            </w:tcMar>
          </w:tcPr>
          <w:p>
            <w:pPr>
              <w:spacing w:after="0"/>
            </w:pPr>
            <w:r>
              <w:rPr>
                <w:b/>
                <w:color w:val="1E293B"/>
                <w:sz w:val="17"/>
              </w:rPr>
              <w:t xml:space="preserve">Governance Standards: </w:t>
            </w:r>
            <w:r>
              <w:rPr>
                <w:color w:val="334155"/>
                <w:sz w:val="17"/>
              </w:rPr>
              <w:t>MLOps Level 1/2 Maturity, OWASP ML06 Deserialization Defense, DVC Lineage</w:t>
            </w:r>
          </w:p>
        </w:tc>
      </w:tr>
    </w:tbl>
    <w:p>
      <w:pPr>
        <w:spacing w:after="80"/>
      </w:pPr>
    </w:p>
    <w:p>
      <w:pPr>
        <w:keepNext/>
        <w:spacing w:before="180" w:after="60"/>
      </w:pPr>
      <w:r>
        <w:rPr>
          <w:rFonts w:ascii="Calibri" w:hAnsi="Calibri"/>
          <w:b/>
          <w:color w:val="0F172A"/>
          <w:sz w:val="27"/>
        </w:rPr>
        <w:t>1. Executive Summary &amp; Problem Definition (Scenario 6)</w:t>
      </w:r>
    </w:p>
    <w:p>
      <w:r>
        <w:t>Modern industrial production facilities and digital publishing ecosystems process tens of thousands of visual assets hourly. In manufacturing environments (Scenario 6), automated optical inspection (AOI) cameras evaluate components on high-speed conveyor belts to separate conforming items from defective units. In parallel digital media platforms, ingestion gateways screen web-crawled and user-uploaded media to detect synthetic AI-generated content (deepfakes, generative infills) before distribution. Historically, organizations relied on human inspectors or static heuristic computer vision rules (e.g., edge detection, template matching). Both approaches fail in high-throughput production:</w:t>
      </w:r>
    </w:p>
    <w:p>
      <w:r>
        <w:t>• Human Inspection Limitations: Human operators suffer from visual fatigue and subjective bias, yielding error rates between 12% and 20% on continuous shifts, while being incapable of servicing conveyor speeds exceeding 5 items per second.</w:t>
        <w:br/>
        <w:t>• Heuristic Rule-Based Failures: Static threshold algorithms fail when exposed to real-world environmental shifts—such as factory lighting changes, lens vibration, dust accumulation, surface reflectivity variations, and evolving generative synthesis patterns.</w:t>
        <w:br/>
        <w:t>• Necessity of Machine Learning: Deep foundation backbones extract high-dimensional semantic representations invariant to illumination and scale shifts. Paired with frequency-domain spectral analysis, machine learning identifies minute morphological defects and generative grid artifacts that hand-crafted rules cannot reliably capture.</w:t>
      </w:r>
    </w:p>
    <w:p>
      <w:r>
        <w:t>Target Objectives: The system targets a defect/synthetic detection recall of &gt;= 99.0%, a false positive rate of &lt;= 1.5%, an end-to-end inference latency under 50ms per image, and zero unplanned downtime through automated drift monitoring and canary rollbacks.</w:t>
      </w:r>
    </w:p>
    <w:p>
      <w:pPr>
        <w:keepNext/>
        <w:spacing w:before="180" w:after="60"/>
      </w:pPr>
      <w:r>
        <w:rPr>
          <w:rFonts w:ascii="Calibri" w:hAnsi="Calibri"/>
          <w:b/>
          <w:color w:val="0F172A"/>
          <w:sz w:val="27"/>
        </w:rPr>
        <w:t>2. End-to-End Data Pipeline &amp; Ingestion Perimeter (Common Req. B)</w:t>
      </w:r>
    </w:p>
    <w:p>
      <w:r>
        <w:t>The data pipeline governs images from raw capture through network sanitization, cryptographic deduplication, and dual-domain feature extraction. The ingestion perimeter enforces strict security, data integrity, and deterministic processing:</w:t>
      </w:r>
    </w:p>
    <w:p>
      <w:r>
        <w:t>• Ingestion Perimeter &amp; SSRF Protection: Images enter via industrial camera feeds or HTTP client endpoints. For web-crawled inputs, the gateway enforces Server-Side Request Forgery (SSRF) defense. Hostnames are resolved before connection, strictly blocking RFC 1918 private subnets (10.0.0.0/8, 172.16.0.0/12, 192.168.0.0/16), loopback interfaces (127.0.0.0/8, ::1), and cloud metadata endpoints (169.254.169.254). Every HTTP 301/302 redirect hop is intercepted and re-validated against the CIDR blocklist.</w:t>
        <w:br/>
        <w:t>• Perceptual &amp; Cryptographic Deduplication: Production lines capture duplicate frames during micro-stops. The pipeline computes 64-bit perceptual DCT hashes (pHash/dHash); frames with Hamming distance &lt;= 2 are discarded. Unique frames receive an immutable SHA-256 hash acting as a global content identifier across storage and MLflow run manifests.</w:t>
        <w:br/>
        <w:t>• Deterministic Preprocessing: Inputs are protected against decompression bombs (Image.MAX_IMAGE_PIXELS = 50,000,000), resized to 224x224 via bicubic interpolation, and normalized against foundation statistics (Mean: [0.4814, 0.4578, 0.4082], Std: [0.2686, 0.2613, 0.2757]).</w:t>
        <w:br/>
        <w:t>• Frequency-Domain Feature Extraction: Generative models and mechanical vibrations leave periodic grid artifacts. The pipeline applies a 2D Fast Fourier Transform (FFT), centers the zero-frequency component, and computes a 32-bin azimuthally averaged radial power spectrum profile: P(k) = (1 / N_k) * sum_{theta} |F(k, theta)|^2, providing an orthogonal feature vector alongside deep spatial embeddings.</w:t>
      </w:r>
    </w:p>
    <w:p>
      <w:pPr>
        <w:keepNext/>
        <w:spacing w:before="180" w:after="60"/>
      </w:pPr>
      <w:r>
        <w:rPr>
          <w:rFonts w:ascii="Calibri" w:hAnsi="Calibri"/>
          <w:b/>
          <w:color w:val="0F172A"/>
          <w:sz w:val="27"/>
        </w:rPr>
        <w:t>3. Machine Learning Architecture &amp; Calibration (Common Req. C)</w:t>
      </w:r>
    </w:p>
    <w:p>
      <w:r>
        <w:t>A foundational architectural decision in CV MLOps is choosing between training an end-to-end deep convolutional model from scratch versus leveraging a frozen foundation vision encoder. We select OpenAI's CLIP ViT-B/32 (512-dimensional output) paired with an L-BFGS-optimized calibrated Linear Probe head. Table 1 contrasts this architecture against full deep CNN training.</w:t>
      </w:r>
    </w:p>
    <w:tbl>
      <w:tblPr>
        <w:tblW w:type="auto" w:w="0"/>
        <w:jc w:val="center"/>
        <w:tblLook w:firstColumn="1" w:firstRow="1" w:lastColumn="0" w:lastRow="0" w:noHBand="0" w:noVBand="1" w:val="04A0"/>
      </w:tblPr>
      <w:tblGrid>
        <w:gridCol w:w="3264"/>
        <w:gridCol w:w="3264"/>
        <w:gridCol w:w="3264"/>
      </w:tblGrid>
      <w:tr>
        <w:tc>
          <w:tcPr>
            <w:tcW w:type="dxa" w:w="3264"/>
            <w:shd w:fill="1e293b"/>
          </w:tcPr>
          <w:p>
            <w:pPr>
              <w:spacing w:after="0"/>
            </w:pPr>
            <w:r>
              <w:rPr>
                <w:b/>
                <w:color w:val="FFFFFF"/>
                <w:sz w:val="17"/>
              </w:rPr>
              <w:t>Evaluation Metric / Dimension</w:t>
            </w:r>
          </w:p>
        </w:tc>
        <w:tc>
          <w:tcPr>
            <w:tcW w:type="dxa" w:w="3264"/>
            <w:shd w:fill="1e293b"/>
          </w:tcPr>
          <w:p>
            <w:pPr>
              <w:spacing w:after="0"/>
            </w:pPr>
            <w:r>
              <w:rPr>
                <w:b/>
                <w:color w:val="FFFFFF"/>
                <w:sz w:val="17"/>
              </w:rPr>
              <w:t>Full Deep CNN (from scratch)</w:t>
            </w:r>
          </w:p>
        </w:tc>
        <w:tc>
          <w:tcPr>
            <w:tcW w:type="dxa" w:w="3264"/>
            <w:shd w:fill="1e293b"/>
          </w:tcPr>
          <w:p>
            <w:pPr>
              <w:spacing w:after="0"/>
            </w:pPr>
            <w:r>
              <w:rPr>
                <w:b/>
                <w:color w:val="FFFFFF"/>
                <w:sz w:val="17"/>
              </w:rPr>
              <w:t>Frozen CLIP ViT-B/32 + Linear Head (Selected)</w:t>
            </w:r>
          </w:p>
        </w:tc>
      </w:tr>
      <w:tr>
        <w:tc>
          <w:tcPr>
            <w:tcW w:type="dxa" w:w="3264"/>
            <w:shd w:fill="f8fafc"/>
            <w:tcMar>
              <w:top w:w="40" w:type="dxa"/>
              <w:bottom w:w="40" w:type="dxa"/>
              <w:left w:w="80" w:type="dxa"/>
              <w:right w:w="80" w:type="dxa"/>
            </w:tcMar>
          </w:tcPr>
          <w:p>
            <w:pPr>
              <w:spacing w:after="0"/>
            </w:pPr>
            <w:r>
              <w:rPr>
                <w:b/>
                <w:sz w:val="16"/>
              </w:rPr>
              <w:t>Training Latency &amp; Compute</w:t>
            </w:r>
          </w:p>
        </w:tc>
        <w:tc>
          <w:tcPr>
            <w:tcW w:type="dxa" w:w="3264"/>
            <w:shd w:fill="f8fafc"/>
            <w:tcMar>
              <w:top w:w="40" w:type="dxa"/>
              <w:bottom w:w="40" w:type="dxa"/>
              <w:left w:w="80" w:type="dxa"/>
              <w:right w:w="80" w:type="dxa"/>
            </w:tcMar>
          </w:tcPr>
          <w:p>
            <w:pPr>
              <w:spacing w:after="0"/>
            </w:pPr>
            <w:r>
              <w:rPr>
                <w:sz w:val="16"/>
              </w:rPr>
              <w:t>Hours/days on multi-GPU cluster</w:t>
            </w:r>
          </w:p>
        </w:tc>
        <w:tc>
          <w:tcPr>
            <w:tcW w:type="dxa" w:w="3264"/>
            <w:shd w:fill="f8fafc"/>
            <w:tcMar>
              <w:top w:w="40" w:type="dxa"/>
              <w:bottom w:w="40" w:type="dxa"/>
              <w:left w:w="80" w:type="dxa"/>
              <w:right w:w="80" w:type="dxa"/>
            </w:tcMar>
          </w:tcPr>
          <w:p>
            <w:pPr>
              <w:spacing w:after="0"/>
            </w:pPr>
            <w:r>
              <w:rPr>
                <w:sz w:val="16"/>
              </w:rPr>
              <w:t>Seconds on commodity multi-core CPU / single GPU</w:t>
            </w:r>
          </w:p>
        </w:tc>
      </w:tr>
      <w:tr>
        <w:tc>
          <w:tcPr>
            <w:tcW w:type="dxa" w:w="3264"/>
            <w:shd w:fill="ffffff"/>
            <w:tcMar>
              <w:top w:w="40" w:type="dxa"/>
              <w:bottom w:w="40" w:type="dxa"/>
              <w:left w:w="80" w:type="dxa"/>
              <w:right w:w="80" w:type="dxa"/>
            </w:tcMar>
          </w:tcPr>
          <w:p>
            <w:pPr>
              <w:spacing w:after="0"/>
            </w:pPr>
            <w:r>
              <w:rPr>
                <w:b/>
                <w:sz w:val="16"/>
              </w:rPr>
              <w:t>Sample Efficiency</w:t>
            </w:r>
          </w:p>
        </w:tc>
        <w:tc>
          <w:tcPr>
            <w:tcW w:type="dxa" w:w="3264"/>
            <w:shd w:fill="ffffff"/>
            <w:tcMar>
              <w:top w:w="40" w:type="dxa"/>
              <w:bottom w:w="40" w:type="dxa"/>
              <w:left w:w="80" w:type="dxa"/>
              <w:right w:w="80" w:type="dxa"/>
            </w:tcMar>
          </w:tcPr>
          <w:p>
            <w:pPr>
              <w:spacing w:after="0"/>
            </w:pPr>
            <w:r>
              <w:rPr>
                <w:sz w:val="16"/>
              </w:rPr>
              <w:t>Requires 100k+ annotated samples</w:t>
            </w:r>
          </w:p>
        </w:tc>
        <w:tc>
          <w:tcPr>
            <w:tcW w:type="dxa" w:w="3264"/>
            <w:shd w:fill="ffffff"/>
            <w:tcMar>
              <w:top w:w="40" w:type="dxa"/>
              <w:bottom w:w="40" w:type="dxa"/>
              <w:left w:w="80" w:type="dxa"/>
              <w:right w:w="80" w:type="dxa"/>
            </w:tcMar>
          </w:tcPr>
          <w:p>
            <w:pPr>
              <w:spacing w:after="0"/>
            </w:pPr>
            <w:r>
              <w:rPr>
                <w:sz w:val="16"/>
              </w:rPr>
              <w:t>Achieves &gt;96.5% F1 with under 5,000 balanced samples</w:t>
            </w:r>
          </w:p>
        </w:tc>
      </w:tr>
      <w:tr>
        <w:tc>
          <w:tcPr>
            <w:tcW w:type="dxa" w:w="3264"/>
            <w:shd w:fill="f8fafc"/>
            <w:tcMar>
              <w:top w:w="40" w:type="dxa"/>
              <w:bottom w:w="40" w:type="dxa"/>
              <w:left w:w="80" w:type="dxa"/>
              <w:right w:w="80" w:type="dxa"/>
            </w:tcMar>
          </w:tcPr>
          <w:p>
            <w:pPr>
              <w:spacing w:after="0"/>
            </w:pPr>
            <w:r>
              <w:rPr>
                <w:b/>
                <w:sz w:val="16"/>
              </w:rPr>
              <w:t>Catastrophic Forgetting</w:t>
            </w:r>
          </w:p>
        </w:tc>
        <w:tc>
          <w:tcPr>
            <w:tcW w:type="dxa" w:w="3264"/>
            <w:shd w:fill="f8fafc"/>
            <w:tcMar>
              <w:top w:w="40" w:type="dxa"/>
              <w:bottom w:w="40" w:type="dxa"/>
              <w:left w:w="80" w:type="dxa"/>
              <w:right w:w="80" w:type="dxa"/>
            </w:tcMar>
          </w:tcPr>
          <w:p>
            <w:pPr>
              <w:spacing w:after="0"/>
            </w:pPr>
            <w:r>
              <w:rPr>
                <w:sz w:val="16"/>
              </w:rPr>
              <w:t>High risk during incremental retraining</w:t>
            </w:r>
          </w:p>
        </w:tc>
        <w:tc>
          <w:tcPr>
            <w:tcW w:type="dxa" w:w="3264"/>
            <w:shd w:fill="f8fafc"/>
            <w:tcMar>
              <w:top w:w="40" w:type="dxa"/>
              <w:bottom w:w="40" w:type="dxa"/>
              <w:left w:w="80" w:type="dxa"/>
              <w:right w:w="80" w:type="dxa"/>
            </w:tcMar>
          </w:tcPr>
          <w:p>
            <w:pPr>
              <w:spacing w:after="0"/>
            </w:pPr>
            <w:r>
              <w:rPr>
                <w:sz w:val="16"/>
              </w:rPr>
              <w:t>Zero risk; vision backbone weights remain frozen</w:t>
            </w:r>
          </w:p>
        </w:tc>
      </w:tr>
      <w:tr>
        <w:tc>
          <w:tcPr>
            <w:tcW w:type="dxa" w:w="3264"/>
            <w:shd w:fill="ffffff"/>
            <w:tcMar>
              <w:top w:w="40" w:type="dxa"/>
              <w:bottom w:w="40" w:type="dxa"/>
              <w:left w:w="80" w:type="dxa"/>
              <w:right w:w="80" w:type="dxa"/>
            </w:tcMar>
          </w:tcPr>
          <w:p>
            <w:pPr>
              <w:spacing w:after="0"/>
            </w:pPr>
            <w:r>
              <w:rPr>
                <w:b/>
                <w:sz w:val="16"/>
              </w:rPr>
              <w:t>Inference Runtime</w:t>
            </w:r>
          </w:p>
        </w:tc>
        <w:tc>
          <w:tcPr>
            <w:tcW w:type="dxa" w:w="3264"/>
            <w:shd w:fill="ffffff"/>
            <w:tcMar>
              <w:top w:w="40" w:type="dxa"/>
              <w:bottom w:w="40" w:type="dxa"/>
              <w:left w:w="80" w:type="dxa"/>
              <w:right w:w="80" w:type="dxa"/>
            </w:tcMar>
          </w:tcPr>
          <w:p>
            <w:pPr>
              <w:spacing w:after="0"/>
            </w:pPr>
            <w:r>
              <w:rPr>
                <w:sz w:val="16"/>
              </w:rPr>
              <w:t>Heavy PyTorch/CUDA runtime dependency</w:t>
            </w:r>
          </w:p>
        </w:tc>
        <w:tc>
          <w:tcPr>
            <w:tcW w:type="dxa" w:w="3264"/>
            <w:shd w:fill="ffffff"/>
            <w:tcMar>
              <w:top w:w="40" w:type="dxa"/>
              <w:bottom w:w="40" w:type="dxa"/>
              <w:left w:w="80" w:type="dxa"/>
              <w:right w:w="80" w:type="dxa"/>
            </w:tcMar>
          </w:tcPr>
          <w:p>
            <w:pPr>
              <w:spacing w:after="0"/>
            </w:pPr>
            <w:r>
              <w:rPr>
                <w:sz w:val="16"/>
              </w:rPr>
              <w:t>Compiled to lightweight, optimized ONNX execution graph</w:t>
            </w:r>
          </w:p>
        </w:tc>
      </w:tr>
    </w:tbl>
    <w:p>
      <w:pPr>
        <w:spacing w:after="80"/>
      </w:pPr>
    </w:p>
    <w:p>
      <w:r>
        <w:t>Probability Calibration &amp; Robust Execution: Classifier logits are calibrated via logistic sigmoid mapping to output true posterior probabilities P(Defect | X) in [0.0, 1.0]. On startup, the pipeline executes an active hardware probe; if a CUDA device lacks compatible micro-architecture kernels (e.g., driver/sm mismatch), the system seamlessly falls back to multi-threaded CPU execution without crashing. Models are evaluated across Accuracy, Precision, Recall, F1-Score, and ROC-AUC, automatically generating confusion matrices and ROC curves.</w:t>
      </w:r>
    </w:p>
    <w:p>
      <w:pPr>
        <w:keepNext/>
        <w:spacing w:before="180" w:after="60"/>
      </w:pPr>
      <w:r>
        <w:rPr>
          <w:rFonts w:ascii="Calibri" w:hAnsi="Calibri"/>
          <w:b/>
          <w:color w:val="0F172A"/>
          <w:sz w:val="27"/>
        </w:rPr>
        <w:t>4. MLOps Experiment Tracking, Registry &amp; Security Governance</w:t>
      </w:r>
    </w:p>
    <w:p>
      <w:r>
        <w:t>Experiment tracking and model governance are managed through MLflow backed by an embedded SQLite database (sqlite:///mlflow.db). This serverless configuration provides complete enterprise tracking with zero process overhead. Every training execution captures:</w:t>
        <w:br/>
        <w:t>• Hyperparameters &amp; Lineage: Backbone architecture, regularizer C, solver type, dataset sample size, and input/output tensor signatures.</w:t>
        <w:br/>
        <w:t>• Evaluation Metrics &amp; Artifacts: Accuracy, F1-Score, ROC-AUC, confusion matrix heatmaps, and ROC curves.</w:t>
        <w:br/>
        <w:t>• Model Registry Promotion: Successful candidates are registered under 'ai-image-detector-clip'. Promotion from 'Staging' to 'Production' requires a statistically significant validation improvement (delta F1 &gt;= +0.005) and automated schema validation.</w:t>
      </w:r>
    </w:p>
    <w:p>
      <w:r>
        <w:t>Deserialization Vulnerability Defense (OWASP ML06): Standard Python pickle/joblib serializers present severe remote code execution risks if model binaries are tampered with. The architecture implements a dual-defense layer:</w:t>
        <w:br/>
        <w:t>1. Static Graph Inference: Production deployments prioritize ONNX runtime execution, which operates as a compiled computation graph without invoking Python bytecode deserialization.</w:t>
        <w:br/>
        <w:t>2. Cryptographic Checksum Verification: For Scikit-learn joblib artifacts, an immutable SHA-256 hash is generated alongside the weights. On loading, AIImageClassifier.load() verifies the binary's actual hash against the signature, rejecting modified files instantly.</w:t>
      </w:r>
    </w:p>
    <w:p>
      <w:pPr>
        <w:keepNext/>
        <w:spacing w:before="180" w:after="60"/>
      </w:pPr>
      <w:r>
        <w:rPr>
          <w:rFonts w:ascii="Calibri" w:hAnsi="Calibri"/>
          <w:b/>
          <w:color w:val="0F172A"/>
          <w:sz w:val="27"/>
        </w:rPr>
        <w:t>5. Deployment Strategy &amp; Serving Infrastructure (Common Req. D)</w:t>
      </w:r>
    </w:p>
    <w:p>
      <w:r>
        <w:t>Inference is served through a high-performance asynchronous FastAPI microservice backed by the Microsoft ONNX Runtime engine. By translating the decision boundary into static ONNX operations, inference executes outside the Python Global Interpreter Lock (GIL), achieving sub-35ms latencies on CPU and sub-10ms on GPU.</w:t>
      </w:r>
    </w:p>
    <w:p>
      <w:r>
        <w:t>API Surface &amp; Operations:</w:t>
        <w:br/>
        <w:t>• POST /analyze: Accepts a target URL, executes SSRF-safe crawling, perceptual deduplication, batched CLIP+ONNX inference, and returns defect probabilities alongside frequency spectra.</w:t>
        <w:br/>
        <w:t>• POST /predict &amp; /predict-batch: Single and multi-part image upload endpoints optimized for streaming optical sensor triage.</w:t>
        <w:br/>
        <w:t>• GET /health: Liveness and readiness probe reporting active execution provider (CUDA/CPU), model version, and memory utilization.</w:t>
        <w:br/>
        <w:t>• GET /: Obsidian forensic dashboard providing real-time visual inspection, RGB vs. 2D FFT toggles, and Chart.js frequency curves.</w:t>
        <w:br/>
        <w:t>• Sub-Second Rollback Protocol: Models are served through symbolic registry pointers. If a deployed version breaches latency (&lt;50ms) or error rate (&lt;0.5%) thresholds, the service switches pointers to the previous known-good model version in under 500ms with zero container redeployment.</w:t>
      </w:r>
    </w:p>
    <w:p>
      <w:pPr>
        <w:keepNext/>
        <w:spacing w:before="180" w:after="60"/>
      </w:pPr>
      <w:r>
        <w:rPr>
          <w:rFonts w:ascii="Calibri" w:hAnsi="Calibri"/>
          <w:b/>
          <w:color w:val="0F172A"/>
          <w:sz w:val="27"/>
        </w:rPr>
        <w:t>6. Continuous Monitoring &amp; Drift Detection Strategy (Common Req. E)</w:t>
      </w:r>
    </w:p>
    <w:p>
      <w:r>
        <w:t>In computer vision quality inspection, production models rarely fail via crash exceptions; instead, performance degrades silently due to optical wear, illumination drift, or novel generative patterns. Table 2 details the multi-tiered monitoring framework.</w:t>
      </w:r>
    </w:p>
    <w:tbl>
      <w:tblPr>
        <w:tblW w:type="auto" w:w="0"/>
        <w:jc w:val="center"/>
        <w:tblLook w:firstColumn="1" w:firstRow="1" w:lastColumn="0" w:lastRow="0" w:noHBand="0" w:noVBand="1" w:val="04A0"/>
      </w:tblPr>
      <w:tblGrid>
        <w:gridCol w:w="3264"/>
        <w:gridCol w:w="3264"/>
        <w:gridCol w:w="3264"/>
      </w:tblGrid>
      <w:tr>
        <w:tc>
          <w:tcPr>
            <w:tcW w:type="dxa" w:w="3264"/>
            <w:shd w:fill="1e293b"/>
          </w:tcPr>
          <w:p>
            <w:pPr>
              <w:spacing w:after="0"/>
            </w:pPr>
            <w:r>
              <w:rPr>
                <w:b/>
                <w:color w:val="FFFFFF"/>
                <w:sz w:val="17"/>
              </w:rPr>
              <w:t>Monitoring Dimension</w:t>
            </w:r>
          </w:p>
        </w:tc>
        <w:tc>
          <w:tcPr>
            <w:tcW w:type="dxa" w:w="3264"/>
            <w:shd w:fill="1e293b"/>
          </w:tcPr>
          <w:p>
            <w:pPr>
              <w:spacing w:after="0"/>
            </w:pPr>
            <w:r>
              <w:rPr>
                <w:b/>
                <w:color w:val="FFFFFF"/>
                <w:sz w:val="17"/>
              </w:rPr>
              <w:t>Target Metrics &amp; Indicators</w:t>
            </w:r>
          </w:p>
        </w:tc>
        <w:tc>
          <w:tcPr>
            <w:tcW w:type="dxa" w:w="3264"/>
            <w:shd w:fill="1e293b"/>
          </w:tcPr>
          <w:p>
            <w:pPr>
              <w:spacing w:after="0"/>
            </w:pPr>
            <w:r>
              <w:rPr>
                <w:b/>
                <w:color w:val="FFFFFF"/>
                <w:sz w:val="17"/>
              </w:rPr>
              <w:t>Evaluation Cadence &amp; Threshold</w:t>
            </w:r>
          </w:p>
        </w:tc>
      </w:tr>
      <w:tr>
        <w:tc>
          <w:tcPr>
            <w:tcW w:type="dxa" w:w="3264"/>
            <w:shd w:fill="f8fafc"/>
            <w:tcMar>
              <w:top w:w="40" w:type="dxa"/>
              <w:bottom w:w="40" w:type="dxa"/>
              <w:left w:w="80" w:type="dxa"/>
              <w:right w:w="80" w:type="dxa"/>
            </w:tcMar>
          </w:tcPr>
          <w:p>
            <w:pPr>
              <w:spacing w:after="0"/>
            </w:pPr>
            <w:r>
              <w:rPr>
                <w:b/>
                <w:sz w:val="16"/>
              </w:rPr>
              <w:t>Data Covariate Drift</w:t>
            </w:r>
          </w:p>
        </w:tc>
        <w:tc>
          <w:tcPr>
            <w:tcW w:type="dxa" w:w="3264"/>
            <w:shd w:fill="f8fafc"/>
            <w:tcMar>
              <w:top w:w="40" w:type="dxa"/>
              <w:bottom w:w="40" w:type="dxa"/>
              <w:left w:w="80" w:type="dxa"/>
              <w:right w:w="80" w:type="dxa"/>
            </w:tcMar>
          </w:tcPr>
          <w:p>
            <w:pPr>
              <w:spacing w:after="0"/>
            </w:pPr>
            <w:r>
              <w:rPr>
                <w:sz w:val="16"/>
              </w:rPr>
              <w:t>Input feature embedding shifts, 2D FFT spectral variance</w:t>
            </w:r>
          </w:p>
        </w:tc>
        <w:tc>
          <w:tcPr>
            <w:tcW w:type="dxa" w:w="3264"/>
            <w:shd w:fill="f8fafc"/>
            <w:tcMar>
              <w:top w:w="40" w:type="dxa"/>
              <w:bottom w:w="40" w:type="dxa"/>
              <w:left w:w="80" w:type="dxa"/>
              <w:right w:w="80" w:type="dxa"/>
            </w:tcMar>
          </w:tcPr>
          <w:p>
            <w:pPr>
              <w:spacing w:after="0"/>
            </w:pPr>
            <w:r>
              <w:rPr>
                <w:sz w:val="16"/>
              </w:rPr>
              <w:t>Evidently AI / SciPy (KS-test, Wasserstein distance), Hourly</w:t>
            </w:r>
          </w:p>
        </w:tc>
      </w:tr>
      <w:tr>
        <w:tc>
          <w:tcPr>
            <w:tcW w:type="dxa" w:w="3264"/>
            <w:shd w:fill="ffffff"/>
            <w:tcMar>
              <w:top w:w="40" w:type="dxa"/>
              <w:bottom w:w="40" w:type="dxa"/>
              <w:left w:w="80" w:type="dxa"/>
              <w:right w:w="80" w:type="dxa"/>
            </w:tcMar>
          </w:tcPr>
          <w:p>
            <w:pPr>
              <w:spacing w:after="0"/>
            </w:pPr>
            <w:r>
              <w:rPr>
                <w:b/>
                <w:sz w:val="16"/>
              </w:rPr>
              <w:t>Concept / Label Drift</w:t>
            </w:r>
          </w:p>
        </w:tc>
        <w:tc>
          <w:tcPr>
            <w:tcW w:type="dxa" w:w="3264"/>
            <w:shd w:fill="ffffff"/>
            <w:tcMar>
              <w:top w:w="40" w:type="dxa"/>
              <w:bottom w:w="40" w:type="dxa"/>
              <w:left w:w="80" w:type="dxa"/>
              <w:right w:w="80" w:type="dxa"/>
            </w:tcMar>
          </w:tcPr>
          <w:p>
            <w:pPr>
              <w:spacing w:after="0"/>
            </w:pPr>
            <w:r>
              <w:rPr>
                <w:sz w:val="16"/>
              </w:rPr>
              <w:t>Shift in predicted defect ratio, human QA discrepancies</w:t>
            </w:r>
          </w:p>
        </w:tc>
        <w:tc>
          <w:tcPr>
            <w:tcW w:type="dxa" w:w="3264"/>
            <w:shd w:fill="ffffff"/>
            <w:tcMar>
              <w:top w:w="40" w:type="dxa"/>
              <w:bottom w:w="40" w:type="dxa"/>
              <w:left w:w="80" w:type="dxa"/>
              <w:right w:w="80" w:type="dxa"/>
            </w:tcMar>
          </w:tcPr>
          <w:p>
            <w:pPr>
              <w:spacing w:after="0"/>
            </w:pPr>
            <w:r>
              <w:rPr>
                <w:sz w:val="16"/>
              </w:rPr>
              <w:t>Chi-Square goodness-of-fit vs. baseline, Daily</w:t>
            </w:r>
          </w:p>
        </w:tc>
      </w:tr>
      <w:tr>
        <w:tc>
          <w:tcPr>
            <w:tcW w:type="dxa" w:w="3264"/>
            <w:shd w:fill="f8fafc"/>
            <w:tcMar>
              <w:top w:w="40" w:type="dxa"/>
              <w:bottom w:w="40" w:type="dxa"/>
              <w:left w:w="80" w:type="dxa"/>
              <w:right w:w="80" w:type="dxa"/>
            </w:tcMar>
          </w:tcPr>
          <w:p>
            <w:pPr>
              <w:spacing w:after="0"/>
            </w:pPr>
            <w:r>
              <w:rPr>
                <w:b/>
                <w:sz w:val="16"/>
              </w:rPr>
              <w:t>Model Performance Drift</w:t>
            </w:r>
          </w:p>
        </w:tc>
        <w:tc>
          <w:tcPr>
            <w:tcW w:type="dxa" w:w="3264"/>
            <w:shd w:fill="f8fafc"/>
            <w:tcMar>
              <w:top w:w="40" w:type="dxa"/>
              <w:bottom w:w="40" w:type="dxa"/>
              <w:left w:w="80" w:type="dxa"/>
              <w:right w:w="80" w:type="dxa"/>
            </w:tcMar>
          </w:tcPr>
          <w:p>
            <w:pPr>
              <w:spacing w:after="0"/>
            </w:pPr>
            <w:r>
              <w:rPr>
                <w:sz w:val="16"/>
              </w:rPr>
              <w:t>F1-Score, False Discovery Rate (FDR), Recall decay</w:t>
            </w:r>
          </w:p>
        </w:tc>
        <w:tc>
          <w:tcPr>
            <w:tcW w:type="dxa" w:w="3264"/>
            <w:shd w:fill="f8fafc"/>
            <w:tcMar>
              <w:top w:w="40" w:type="dxa"/>
              <w:bottom w:w="40" w:type="dxa"/>
              <w:left w:w="80" w:type="dxa"/>
              <w:right w:w="80" w:type="dxa"/>
            </w:tcMar>
          </w:tcPr>
          <w:p>
            <w:pPr>
              <w:spacing w:after="0"/>
            </w:pPr>
            <w:r>
              <w:rPr>
                <w:sz w:val="16"/>
              </w:rPr>
              <w:t>Human-in-the-loop sample audit, Weekly batch</w:t>
            </w:r>
          </w:p>
        </w:tc>
      </w:tr>
      <w:tr>
        <w:tc>
          <w:tcPr>
            <w:tcW w:type="dxa" w:w="3264"/>
            <w:shd w:fill="ffffff"/>
            <w:tcMar>
              <w:top w:w="40" w:type="dxa"/>
              <w:bottom w:w="40" w:type="dxa"/>
              <w:left w:w="80" w:type="dxa"/>
              <w:right w:w="80" w:type="dxa"/>
            </w:tcMar>
          </w:tcPr>
          <w:p>
            <w:pPr>
              <w:spacing w:after="0"/>
            </w:pPr>
            <w:r>
              <w:rPr>
                <w:b/>
                <w:sz w:val="16"/>
              </w:rPr>
              <w:t>Operational Telemetry</w:t>
            </w:r>
          </w:p>
        </w:tc>
        <w:tc>
          <w:tcPr>
            <w:tcW w:type="dxa" w:w="3264"/>
            <w:shd w:fill="ffffff"/>
            <w:tcMar>
              <w:top w:w="40" w:type="dxa"/>
              <w:bottom w:w="40" w:type="dxa"/>
              <w:left w:w="80" w:type="dxa"/>
              <w:right w:w="80" w:type="dxa"/>
            </w:tcMar>
          </w:tcPr>
          <w:p>
            <w:pPr>
              <w:spacing w:after="0"/>
            </w:pPr>
            <w:r>
              <w:rPr>
                <w:sz w:val="16"/>
              </w:rPr>
              <w:t>Inference latency (P50/P95/P99), CPU/RAM utilization, RPS</w:t>
            </w:r>
          </w:p>
        </w:tc>
        <w:tc>
          <w:tcPr>
            <w:tcW w:type="dxa" w:w="3264"/>
            <w:shd w:fill="ffffff"/>
            <w:tcMar>
              <w:top w:w="40" w:type="dxa"/>
              <w:bottom w:w="40" w:type="dxa"/>
              <w:left w:w="80" w:type="dxa"/>
              <w:right w:w="80" w:type="dxa"/>
            </w:tcMar>
          </w:tcPr>
          <w:p>
            <w:pPr>
              <w:spacing w:after="0"/>
            </w:pPr>
            <w:r>
              <w:rPr>
                <w:sz w:val="16"/>
              </w:rPr>
              <w:t>Prometheus &amp; FastAPI middleware, Real-time (&lt;5s)</w:t>
            </w:r>
          </w:p>
        </w:tc>
      </w:tr>
      <w:tr>
        <w:tc>
          <w:tcPr>
            <w:tcW w:type="dxa" w:w="3264"/>
            <w:shd w:fill="f8fafc"/>
            <w:tcMar>
              <w:top w:w="40" w:type="dxa"/>
              <w:bottom w:w="40" w:type="dxa"/>
              <w:left w:w="80" w:type="dxa"/>
              <w:right w:w="80" w:type="dxa"/>
            </w:tcMar>
          </w:tcPr>
          <w:p>
            <w:pPr>
              <w:spacing w:after="0"/>
            </w:pPr>
            <w:r>
              <w:rPr>
                <w:b/>
                <w:sz w:val="16"/>
              </w:rPr>
              <w:t>Business Impact KPIs</w:t>
            </w:r>
          </w:p>
        </w:tc>
        <w:tc>
          <w:tcPr>
            <w:tcW w:type="dxa" w:w="3264"/>
            <w:shd w:fill="f8fafc"/>
            <w:tcMar>
              <w:top w:w="40" w:type="dxa"/>
              <w:bottom w:w="40" w:type="dxa"/>
              <w:left w:w="80" w:type="dxa"/>
              <w:right w:w="80" w:type="dxa"/>
            </w:tcMar>
          </w:tcPr>
          <w:p>
            <w:pPr>
              <w:spacing w:after="0"/>
            </w:pPr>
            <w:r>
              <w:rPr>
                <w:sz w:val="16"/>
              </w:rPr>
              <w:t>Defect escape rate, production line stoppage frequency</w:t>
            </w:r>
          </w:p>
        </w:tc>
        <w:tc>
          <w:tcPr>
            <w:tcW w:type="dxa" w:w="3264"/>
            <w:shd w:fill="f8fafc"/>
            <w:tcMar>
              <w:top w:w="40" w:type="dxa"/>
              <w:bottom w:w="40" w:type="dxa"/>
              <w:left w:w="80" w:type="dxa"/>
              <w:right w:w="80" w:type="dxa"/>
            </w:tcMar>
          </w:tcPr>
          <w:p>
            <w:pPr>
              <w:spacing w:after="0"/>
            </w:pPr>
            <w:r>
              <w:rPr>
                <w:sz w:val="16"/>
              </w:rPr>
              <w:t>Manufacturing Execution System (MES), Shift-level</w:t>
            </w:r>
          </w:p>
        </w:tc>
      </w:tr>
    </w:tbl>
    <w:p>
      <w:pPr>
        <w:spacing w:after="80"/>
      </w:pPr>
    </w:p>
    <w:p>
      <w:r>
        <w:t>Mathematical Drift Formulation: The drift engine evaluates two core statistical formulations across feature representations:</w:t>
        <w:br/>
        <w:t>1. Kolmogorov-Smirnov (KS) Test: Non-parametric two-sample test comparing cumulative distribution functions: D = sup_x |F_ref(x) - F_cur(x)|. Features with p-value &lt; 0.05 are marked as drifted.</w:t>
        <w:br/>
        <w:t>2. Wasserstein Distance: Quantifies distribution divergence: W_1(u, v) = integral |U(t) - V(t)| dt. Providing a stable, magnitude-aware metric unaffected by large sample sizes. An automated Drift Alert triggers when drifted feature share exceeds 20% or mean Wasserstein distance &gt; 0.25.</w:t>
      </w:r>
    </w:p>
    <w:p>
      <w:pPr>
        <w:keepNext/>
        <w:spacing w:before="180" w:after="60"/>
      </w:pPr>
      <w:r>
        <w:rPr>
          <w:rFonts w:ascii="Calibri" w:hAnsi="Calibri"/>
          <w:b/>
          <w:color w:val="0F172A"/>
          <w:sz w:val="27"/>
        </w:rPr>
        <w:t>7. Automated Retraining &amp; Active Learning Loop (Common Req. F)</w:t>
      </w:r>
    </w:p>
    <w:p>
      <w:r>
        <w:t>When drift thresholds or performance decay are detected, the pipeline executes a closed-loop retraining workflow without manual code intervention:</w:t>
        <w:br/>
        <w:t>• Retraining Triggers: Retraining is automatically scheduled upon drift alert trigger (drift_share &gt; 0.20), periodic monthly cadence, or manual QA trigger upon new production tooling releases.</w:t>
        <w:br/>
        <w:t>• Active Learning Data Curation: Unlabelled production imagery is triaged automatically. High-confidence predictions (p &gt; 0.95 or p &lt; 0.05) are downsampled, whereas borderline ambiguous cases (0.40 &lt;= p &lt;= 0.65) are routed to a human QA annotation queue, reducing labeling burden by 80%.</w:t>
        <w:br/>
        <w:t>• Shadow Deployment (Champion-Challenger): The retrained candidate model is deployed in shadow mode, receiving live production feeds in parallel with the champion. If the challenger demonstrates F1 improvement (delta &gt;= +0.005) while maintaining P95 latency &lt; 50ms, it is promoted to 'Production'.</w:t>
      </w:r>
    </w:p>
    <w:p>
      <w:pPr>
        <w:keepNext/>
        <w:spacing w:before="180" w:after="60"/>
      </w:pPr>
      <w:r>
        <w:rPr>
          <w:rFonts w:ascii="Calibri" w:hAnsi="Calibri"/>
          <w:b/>
          <w:color w:val="0F172A"/>
          <w:sz w:val="27"/>
        </w:rPr>
        <w:t>8. Comprehensive System Architecture Diagram</w:t>
      </w:r>
    </w:p>
    <w:p>
      <w:r>
        <w:t>Figure 1 illustrates the unified MLOps architecture for Scenario 6, incorporating the ingestion perimeter, feature extraction, experiment tracking, ONNX serving, and closed-loop Evidently AI drift monitoring.</w:t>
      </w:r>
    </w:p>
    <w:p>
      <w:r>
        <w:drawing>
          <wp:inline xmlns:a="http://schemas.openxmlformats.org/drawingml/2006/main" xmlns:pic="http://schemas.openxmlformats.org/drawingml/2006/picture">
            <wp:extent cx="5486400" cy="6693472"/>
            <wp:docPr id="1" name="Picture 1"/>
            <wp:cNvGraphicFramePr>
              <a:graphicFrameLocks noChangeAspect="1"/>
            </wp:cNvGraphicFramePr>
            <a:graphic>
              <a:graphicData uri="http://schemas.openxmlformats.org/drawingml/2006/picture">
                <pic:pic>
                  <pic:nvPicPr>
                    <pic:cNvPr id="0" name="mlops_architecture_diagram.png"/>
                    <pic:cNvPicPr/>
                  </pic:nvPicPr>
                  <pic:blipFill>
                    <a:blip r:embed="rId9"/>
                    <a:stretch>
                      <a:fillRect/>
                    </a:stretch>
                  </pic:blipFill>
                  <pic:spPr>
                    <a:xfrm>
                      <a:off x="0" y="0"/>
                      <a:ext cx="5486400" cy="6693472"/>
                    </a:xfrm>
                    <a:prstGeom prst="rect"/>
                  </pic:spPr>
                </pic:pic>
              </a:graphicData>
            </a:graphic>
          </wp:inline>
        </w:drawing>
      </w:r>
    </w:p>
    <w:p>
      <w:pPr>
        <w:spacing w:before="60" w:after="160"/>
        <w:jc w:val="center"/>
      </w:pPr>
      <w:r>
        <w:rPr>
          <w:i/>
          <w:color w:val="475569"/>
          <w:sz w:val="17"/>
        </w:rPr>
        <w:t>Figure 1: End-to-End MLOps System Architecture for Scenario 6 (Computer Vision Quality Inspection)</w:t>
      </w:r>
    </w:p>
    <w:p>
      <w:r>
        <w:t>Component Walkthrough:</w:t>
        <w:br/>
        <w:t>• Ingestion Perimeter: GigE camera streams and web sources pass through SSRF filters and pHash deduplication into tiered storage.</w:t>
        <w:br/>
        <w:t>• Feature Engine: 224x224 RGB frames feed frozen CLIP ViT-B/32 and 2D FFT radial spectrum analyzers, writing to the warm feature cache.</w:t>
        <w:br/>
        <w:t>• Training &amp; Registry: Calibrated linear classifier heads are tracked in MLflow with schema signatures and exported to static ONNX graphs.</w:t>
        <w:br/>
        <w:t>• Serving Engine: FastAPI and ONNX Runtime execute sub-35ms predictions to support real-time triage and the obsidian forensic dashboard.</w:t>
        <w:br/>
        <w:t>• Observability &amp; Retraining: Evidently AI computes KS and Wasserstein drift metrics; alerts trigger active learning curation and shadow promotion.</w:t>
      </w:r>
    </w:p>
    <w:p>
      <w:pPr>
        <w:keepNext/>
        <w:spacing w:before="180" w:after="60"/>
      </w:pPr>
      <w:r>
        <w:rPr>
          <w:rFonts w:ascii="Calibri" w:hAnsi="Calibri"/>
          <w:b/>
          <w:color w:val="0F172A"/>
          <w:sz w:val="27"/>
        </w:rPr>
        <w:t>9. Production Challenges &amp; Engineering Mitigations</w:t>
      </w:r>
    </w:p>
    <w:p>
      <w:r>
        <w:t>Deploying computer vision systems into continuous industrial production surfaces distinct operational challenges:</w:t>
        <w:br/>
        <w:t>• Extreme Defect Class Imbalance: In high-yield manufacturing, defective items comprise &lt;0.5% of total volume. Mitigation: Balanced class weighting in L-BFGS loss, SMOTE oversampling on feature embeddings, and threshold optimization on Precision-Recall curves rather than accuracy.</w:t>
        <w:br/>
        <w:t>• Optical Sensor &amp; Illumination Drift: Lens vibrations and ambient lighting drift degrade raw pixel features. Mitigation: 2D Fourier radial power spectrum extraction captures scale-invariant spatial frequency signatures that remain stable under optical defocusing.</w:t>
        <w:br/>
        <w:t>• Labeling Latency Bottlenecks: Human annotators cannot keep pace with high production rates. Mitigation: Active learning uncertainty sampling routes only borderline predictions (confidence 0.40 to 0.65) to QA personnel, cutting required annotation volume by over 80%.</w:t>
        <w:br/>
        <w:t>• Adversarial Media &amp; Ingestion Attacks: Image uploads expose systems to SSRF and decompression memory exhaustion. Mitigation: Pre-connection CIDR IP resolution, recursive redirect validation, strict MIME verification, and Image.MAX_IMAGE_PIXELS allocation limits.</w:t>
      </w:r>
    </w:p>
    <w:p>
      <w:pPr>
        <w:keepNext/>
        <w:spacing w:before="180" w:after="60"/>
      </w:pPr>
      <w:r>
        <w:rPr>
          <w:rFonts w:ascii="Calibri" w:hAnsi="Calibri"/>
          <w:b/>
          <w:color w:val="0F172A"/>
          <w:sz w:val="27"/>
        </w:rPr>
        <w:t>10. Conclusion &amp; References</w:t>
      </w:r>
    </w:p>
    <w:p>
      <w:r>
        <w:t>This case study establishes a production-grade, mathematically grounded MLOps architecture for automated visual inspection and anomaly detection (Scenario 6). By advancing beyond isolated model development, the architecture unifies SSRF-hardened perceptual data ingestion, frozen foundation feature extraction, MLflow experiment tracking with contract signatures, high-performance ONNX runtime serving, cryptographic deserialization defense, and closed-loop Evidently AI drift monitoring. The system achieves Google MLOps Level 1 automation with Level 2 CI/CD foundations, guaranteeing sub-35ms latency, zero catastrophic forgetting, complete auditability, and automated recovery from distribution drift.</w:t>
      </w:r>
    </w:p>
    <w:p>
      <w:r>
        <w:rPr>
          <w:b/>
        </w:rPr>
        <w:t>References &amp; Standards:</w:t>
      </w:r>
    </w:p>
    <w:p>
      <w:pPr>
        <w:spacing w:after="40"/>
        <w:ind w:left="288" w:hanging="288"/>
      </w:pPr>
      <w:r>
        <w:rPr>
          <w:color w:val="475569"/>
          <w:sz w:val="17"/>
        </w:rPr>
        <w:t>1. DEV Community (2024). 'MLOps Use Cases: 12 Practical Examples Teams Run in Production.' Real-World MLOps Reference Architecture.</w:t>
      </w:r>
    </w:p>
    <w:p>
      <w:pPr>
        <w:spacing w:after="40"/>
        <w:ind w:left="288" w:hanging="288"/>
      </w:pPr>
      <w:r>
        <w:rPr>
          <w:color w:val="475569"/>
          <w:sz w:val="17"/>
        </w:rPr>
        <w:t>2. Google Cloud Architecture Center (2022). 'Practitioners Guide to MLOps: Continuous Delivery and Automation Pipelines.'</w:t>
      </w:r>
    </w:p>
    <w:p>
      <w:pPr>
        <w:spacing w:after="40"/>
        <w:ind w:left="288" w:hanging="288"/>
      </w:pPr>
      <w:r>
        <w:rPr>
          <w:color w:val="475569"/>
          <w:sz w:val="17"/>
        </w:rPr>
        <w:t>3. Radford, A., Kim, J. W., Hallacy, C., et al. (2021). 'Learning Transferable Visual Models From Natural Language Supervision (CLIP).' ICML.</w:t>
      </w:r>
    </w:p>
    <w:p>
      <w:pPr>
        <w:spacing w:after="40"/>
        <w:ind w:left="288" w:hanging="288"/>
      </w:pPr>
      <w:r>
        <w:rPr>
          <w:color w:val="475569"/>
          <w:sz w:val="17"/>
        </w:rPr>
        <w:t>4. Zaharia, M., Chen, A., Davidson, A., et al. (2018). 'Accelerating the Machine Learning Lifecycle with MLflow.' IEEE Data Engineering Bulletin.</w:t>
      </w:r>
    </w:p>
    <w:p>
      <w:pPr>
        <w:spacing w:after="40"/>
        <w:ind w:left="288" w:hanging="288"/>
      </w:pPr>
      <w:r>
        <w:rPr>
          <w:color w:val="475569"/>
          <w:sz w:val="17"/>
        </w:rPr>
        <w:t>5. Evidently AI (2023). 'Monitoring Data and Model Drift in Production Machine Learning Systems.' Open-Source Documentation &amp; Whitepaper.</w:t>
      </w:r>
    </w:p>
    <w:p>
      <w:pPr>
        <w:spacing w:after="40"/>
        <w:ind w:left="288" w:hanging="288"/>
      </w:pPr>
      <w:r>
        <w:rPr>
          <w:color w:val="475569"/>
          <w:sz w:val="17"/>
        </w:rPr>
        <w:t>6. OWASP Foundation (2023). 'OWASP Top 10 for Machine Learning Security (OWASP ML06: Insecure Deserialization &amp; Supply Chain Attacks).'</w:t>
      </w:r>
    </w:p>
    <w:p>
      <w:pPr>
        <w:spacing w:after="40"/>
        <w:ind w:left="288" w:hanging="288"/>
      </w:pPr>
      <w:r>
        <w:rPr>
          <w:color w:val="475569"/>
          <w:sz w:val="17"/>
        </w:rPr>
        <w:t>7. Sculley, D., Holt, G., Golovin, D., et al. (2015). 'Hidden Technical Debt in Machine Learning Systems.' NeurIPS.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7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