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rPr>
        <w:t>Part</w:t>
      </w:r>
      <w:r>
        <w:rPr>
          <w:b/>
          <w:spacing w:val="-9"/>
        </w:rPr>
        <w:t> </w:t>
      </w:r>
      <w:r>
        <w:rPr>
          <w:b/>
        </w:rPr>
        <w:t>4</w:t>
      </w:r>
      <w:r>
        <w:rPr>
          <w:b/>
          <w:spacing w:val="14"/>
        </w:rPr>
        <w:t> </w:t>
      </w:r>
      <w:r>
        <w:rPr/>
        <w:t>-</w:t>
      </w:r>
      <w:r>
        <w:rPr>
          <w:spacing w:val="42"/>
        </w:rPr>
        <w:t>  </w:t>
      </w:r>
      <w:r>
        <w:rPr>
          <w:b/>
        </w:rPr>
        <w:t>Global</w:t>
      </w:r>
      <w:r>
        <w:rPr>
          <w:b/>
          <w:spacing w:val="-7"/>
        </w:rPr>
        <w:t> </w:t>
      </w:r>
      <w:r>
        <w:rPr>
          <w:b/>
        </w:rPr>
        <w:t>Rules</w:t>
      </w:r>
      <w:r>
        <w:rPr>
          <w:b/>
          <w:spacing w:val="-4"/>
        </w:rPr>
        <w:t> </w:t>
      </w:r>
      <w:r>
        <w:rPr>
          <w:b/>
        </w:rPr>
        <w:t>(Rule</w:t>
      </w:r>
      <w:r>
        <w:rPr>
          <w:b/>
          <w:spacing w:val="-15"/>
        </w:rPr>
        <w:t> </w:t>
      </w:r>
      <w:r>
        <w:rPr>
          <w:b/>
        </w:rPr>
        <w:t>1</w:t>
      </w:r>
      <w:r>
        <w:rPr>
          <w:b/>
          <w:spacing w:val="-38"/>
        </w:rPr>
        <w:t> </w:t>
      </w:r>
      <w:r>
        <w:rPr>
          <w:b/>
        </w:rPr>
        <w:t>to</w:t>
      </w:r>
      <w:r>
        <w:rPr>
          <w:b/>
          <w:spacing w:val="-21"/>
        </w:rPr>
        <w:t> </w:t>
      </w:r>
      <w:r>
        <w:rPr>
          <w:b/>
        </w:rPr>
        <w:t>Rule</w:t>
      </w:r>
      <w:r>
        <w:rPr>
          <w:b/>
          <w:spacing w:val="-10"/>
        </w:rPr>
        <w:t> </w:t>
      </w:r>
      <w:r>
        <w:rPr>
          <w:b/>
        </w:rPr>
        <w:t>38).</w:t>
      </w:r>
      <w:r>
        <w:rPr>
          <w:b/>
          <w:spacing w:val="-13"/>
        </w:rPr>
        <w:t> </w:t>
      </w:r>
      <w:r>
        <w:rPr/>
        <w:t>Behavior</w:t>
      </w:r>
      <w:r>
        <w:rPr>
          <w:spacing w:val="8"/>
        </w:rPr>
        <w:t> </w:t>
      </w:r>
      <w:r>
        <w:rPr/>
        <w:t>that</w:t>
      </w:r>
      <w:r>
        <w:rPr>
          <w:spacing w:val="2"/>
        </w:rPr>
        <w:t> </w:t>
      </w:r>
      <w:r>
        <w:rPr/>
        <w:t>applies</w:t>
      </w:r>
      <w:r>
        <w:rPr>
          <w:spacing w:val="-7"/>
        </w:rPr>
        <w:t> </w:t>
      </w:r>
      <w:r>
        <w:rPr/>
        <w:t>across</w:t>
      </w:r>
      <w:r>
        <w:rPr>
          <w:spacing w:val="-1"/>
        </w:rPr>
        <w:t> </w:t>
      </w:r>
      <w:r>
        <w:rPr/>
        <w:t>the</w:t>
      </w:r>
      <w:r>
        <w:rPr>
          <w:spacing w:val="8"/>
        </w:rPr>
        <w:t> </w:t>
      </w:r>
      <w:r>
        <w:rPr/>
        <w:t>entire</w:t>
      </w:r>
      <w:r>
        <w:rPr>
          <w:spacing w:val="-18"/>
        </w:rPr>
        <w:t> </w:t>
      </w:r>
      <w:r>
        <w:rPr>
          <w:spacing w:val="-2"/>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rPr>
                <w:b/>
              </w:rPr>
              <w:t xml:space="preserve">Q4 goal</w:t>
            </w:r>
          </w:p>
        </w:tc>
        <w:tc>
          <w:tcPr>
            <w:tcW w:w="2098" w:type="dxa"/>
            <w:shd w:val="clear" w:color="auto" w:fill="D9E2F3"/>
            <w:vAlign w:val="top"/>
          </w:tcPr>
          <w:p>
            <w:pPr>
              <w:pStyle w:val="BodyText"/>
            </w:pPr>
            <w:r>
              <w:rPr>
                <w:b/>
              </w:rPr>
              <w:t xml:space="preserve">Machine (block name)</w:t>
            </w:r>
          </w:p>
        </w:tc>
        <w:tc>
          <w:tcPr>
            <w:tcW w:w="2586" w:type="dxa"/>
            <w:shd w:val="clear" w:color="auto" w:fill="D9E2F3"/>
            <w:vAlign w:val="top"/>
          </w:tcPr>
          <w:p>
            <w:pPr>
              <w:pStyle w:val="BodyText"/>
            </w:pPr>
            <w:r>
              <w:rPr>
                <w:b/>
              </w:rPr>
              <w:t xml:space="preserve">Duration and when</w:t>
            </w:r>
          </w:p>
        </w:tc>
        <w:tc>
          <w:tcPr>
            <w:tcW w:w="4738" w:type="dxa"/>
            <w:shd w:val="clear" w:color="auto" w:fill="D9E2F3"/>
            <w:vAlign w:val="top"/>
          </w:tcPr>
          <w:p>
            <w:pPr>
              <w:pStyle w:val="BodyText"/>
            </w:pPr>
            <w:r>
              <w:rPr>
                <w:b/>
              </w:rP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30 a 45 min · después de pesas, o día separado</w:t>
            </w:r>
          </w:p>
        </w:tc>
        <w:tc>
          <w:tcPr>
            <w:tcW w:w="4738" w:type="dxa"/>
            <w:shd w:val="clear" w:color="auto" w:fill="F2F2F2"/>
            <w:vAlign w:val="top"/>
          </w:tcPr>
          <w:p>
            <w:pPr>
              <w:pStyle w:val="BodyText"/>
            </w:pPr>
            <w:r>
              <w:t xml:space="preserve">Sostiene el déficit calórico necesario para perder grasa. Constante, sin desgastarte.</w:t>
            </w:r>
          </w:p>
        </w:tc>
      </w:tr>
      <w:tr>
        <w:trPr>
          <w:cantSplit/>
        </w:trPr>
        <w:tc>
          <w:tcPr>
            <w:tcW w:w="2098" w:type="dxa"/>
            <w:vAlign w:val="top"/>
          </w:tcPr>
          <w:p>
            <w:pPr>
              <w:pStyle w:val="BodyText"/>
            </w:pPr>
            <w:r>
              <w:t xml:space="preserve">Mejorar mi estética corporal</w:t>
            </w:r>
          </w:p>
        </w:tc>
        <w:tc>
          <w:tcPr>
            <w:tcW w:w="2098" w:type="dxa"/>
            <w:vAlign w:val="top"/>
          </w:tcPr>
          <w:p>
            <w:pPr>
              <w:pStyle w:val="BodyText"/>
            </w:pPr>
            <w:r>
              <w:t xml:space="preserve">Caminadora o bicicleta</w:t>
            </w:r>
          </w:p>
        </w:tc>
        <w:tc>
          <w:tcPr>
            <w:tcW w:w="2586" w:type="dxa"/>
            <w:vAlign w:val="top"/>
          </w:tcPr>
          <w:p>
            <w:pPr>
              <w:pStyle w:val="BodyText"/>
            </w:pPr>
            <w:r>
              <w:t xml:space="preserve">25 a 35 min · después de tu entrenamiento de pesas</w:t>
            </w:r>
          </w:p>
        </w:tc>
        <w:tc>
          <w:tcPr>
            <w:tcW w:w="4738" w:type="dxa"/>
            <w:vAlign w:val="top"/>
          </w:tcPr>
          <w:p>
            <w:pPr>
              <w:pStyle w:val="BodyText"/>
            </w:pPr>
            <w:r>
              <w:t xml:space="preserve">Sostiene el déficit calórico que tu músculo construido necesita para verse definido. No reemplaza las pesas: las complementa.</w:t>
            </w:r>
          </w:p>
        </w:tc>
      </w:tr>
      <w:tr>
        <w:trPr>
          <w:cantSplit/>
        </w:trPr>
        <w:tc>
          <w:tcPr>
            <w:tcW w:w="2098" w:type="dxa"/>
            <w:shd w:val="clear" w:color="auto" w:fill="F2F2F2"/>
            <w:vAlign w:val="top"/>
          </w:tcPr>
          <w:p>
            <w:pPr>
              <w:pStyle w:val="BodyText"/>
            </w:pPr>
            <w:r>
              <w:t xml:space="preserve">Ganar fuerza</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15 a 25 min · día separado de pesas</w:t>
            </w:r>
          </w:p>
        </w:tc>
        <w:tc>
          <w:tcPr>
            <w:tcW w:w="4738" w:type="dxa"/>
            <w:shd w:val="clear" w:color="auto" w:fill="F2F2F2"/>
            <w:vAlign w:val="top"/>
          </w:tcPr>
          <w:p>
            <w:pPr>
              <w:pStyle w:val="BodyText"/>
            </w:pPr>
            <w:r>
              <w:t xml:space="preserve">Base aeróbica que apoya tu recuperación, sin restar energía a tus sesiones de fuerza.</w:t>
            </w:r>
          </w:p>
        </w:tc>
      </w:tr>
      <w:tr>
        <w:trPr>
          <w:cantSplit/>
        </w:trPr>
        <w:tc>
          <w:tcPr>
            <w:tcW w:w="2098" w:type="dxa"/>
            <w:vAlign w:val="top"/>
          </w:tcPr>
          <w:p>
            <w:pPr>
              <w:pStyle w:val="BodyText"/>
            </w:pPr>
            <w:r>
              <w:t xml:space="preserve">Mejorar condición y aguante</w:t>
            </w:r>
          </w:p>
        </w:tc>
        <w:tc>
          <w:tcPr>
            <w:tcW w:w="2098" w:type="dxa"/>
            <w:vAlign w:val="top"/>
          </w:tcPr>
          <w:p>
            <w:pPr>
              <w:pStyle w:val="BodyText"/>
            </w:pPr>
            <w:r>
              <w:t xml:space="preserve">Caminadora, bici, elíptica o remo</w:t>
            </w:r>
          </w:p>
        </w:tc>
        <w:tc>
          <w:tcPr>
            <w:tcW w:w="2586" w:type="dxa"/>
            <w:vAlign w:val="top"/>
          </w:tcPr>
          <w:p>
            <w:pPr>
              <w:pStyle w:val="BodyText"/>
            </w:pPr>
            <w:r>
              <w:t xml:space="preserve">30 a 60 min · cardio primero, pesas después</w:t>
            </w:r>
          </w:p>
        </w:tc>
        <w:tc>
          <w:tcPr>
            <w:tcW w:w="4738" w:type="dxa"/>
            <w:vAlign w:val="top"/>
          </w:tcPr>
          <w:p>
            <w:pPr>
              <w:pStyle w:val="BodyText"/>
            </w:pPr>
            <w:r>
              <w:t xml:space="preserve">El cardio es la prioridad para tu objetivo. Las pesas complementan la base.</w:t>
            </w:r>
          </w:p>
        </w:tc>
      </w:tr>
      <w:tr>
        <w:trPr>
          <w:cantSplit/>
        </w:trPr>
        <w:tc>
          <w:tcPr>
            <w:tcW w:w="2098" w:type="dxa"/>
            <w:shd w:val="clear" w:color="auto" w:fill="F2F2F2"/>
            <w:vAlign w:val="top"/>
          </w:tcPr>
          <w:p>
            <w:pPr>
              <w:pStyle w:val="BodyText"/>
            </w:pPr>
            <w:r>
              <w:t xml:space="preserve">Recuperarme de una lesión o dolor</w:t>
            </w:r>
          </w:p>
        </w:tc>
        <w:tc>
          <w:tcPr>
            <w:tcW w:w="2098" w:type="dxa"/>
            <w:shd w:val="clear" w:color="auto" w:fill="F2F2F2"/>
            <w:vAlign w:val="top"/>
          </w:tcPr>
          <w:p>
            <w:pPr>
              <w:pStyle w:val="BodyText"/>
            </w:pPr>
            <w:r>
              <w:t xml:space="preserve">Caminata o bicicleta suave</w:t>
            </w:r>
          </w:p>
        </w:tc>
        <w:tc>
          <w:tcPr>
            <w:tcW w:w="2586" w:type="dxa"/>
            <w:shd w:val="clear" w:color="auto" w:fill="F2F2F2"/>
            <w:vAlign w:val="top"/>
          </w:tcPr>
          <w:p>
            <w:pPr>
              <w:pStyle w:val="BodyText"/>
            </w:pPr>
            <w:r>
              <w:t xml:space="preserve">15 a 25 min · antes de pesas como calentamiento</w:t>
            </w:r>
          </w:p>
        </w:tc>
        <w:tc>
          <w:tcPr>
            <w:tcW w:w="4738" w:type="dxa"/>
            <w:shd w:val="clear" w:color="auto" w:fill="F2F2F2"/>
            <w:vAlign w:val="top"/>
          </w:tcPr>
          <w:p>
            <w:pPr>
              <w:pStyle w:val="BodyText"/>
            </w:pPr>
            <w:r>
              <w:t xml:space="preserve">Activación suave que prepara tu cuerpo sin sumar carga a la zona lesionada.</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 xml:space="preserve">Block 1 keeps the technical subgroup name as the block name (Hipertrofia, Fuerza, Potencia, Resistencia muscular); these are short, googleable and acceptable as user-facing labels.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