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0"/>
        <w:jc w:val="center"/>
      </w:pPr>
      <w:r>
        <w:rPr>
          <w:rFonts w:ascii="Liberation Serif" w:cs="Liberation Serif" w:eastAsia="Liberation Serif" w:hAnsi="Liberation Serif"/>
          <w:b/>
          <w:bCs/>
          <w:i w:val="false"/>
          <w:iCs w:val="false"/>
          <w:color w:val="1A1A1A"/>
          <w:sz w:val="28"/>
          <w:szCs w:val="28"/>
        </w:rPr>
        <w:t xml:space="preserve">Sports World · 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 facultades que no le han sido revocadas ni limitadas.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 no requieren el registro previsto en el artículo 15 de dicha Ley (REPSE) ni actualizan los supuestos del artículo 15-D del Código Fiscal de la Federación.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Addenda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Modelos de Lenguaje Autorizados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de </w:t>
            </w:r>
            <w:r>
              <w:rPr>
                <w:rFonts w:ascii="Liberation Serif" w:cs="Liberation Serif" w:eastAsia="Liberation Serif" w:hAnsi="Liberation Serif"/>
                <w:b/>
                <w:bCs/>
                <w:i w:val="false"/>
                <w:iCs w:val="false"/>
                <w:color w:val="1A1A1A"/>
                <w:sz w:val="19"/>
                <w:szCs w:val="19"/>
              </w:rPr>
              <w:t xml:space="preserve">Google (Gemini)</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OpenAI (GPT)</w:t>
            </w:r>
            <w:r>
              <w:rPr>
                <w:rFonts w:ascii="Liberation Serif" w:cs="Liberation Serif" w:eastAsia="Liberation Serif" w:hAnsi="Liberation Serif"/>
                <w:b w:val="false"/>
                <w:bCs w:val="false"/>
                <w:i w:val="false"/>
                <w:iCs w:val="false"/>
                <w:color w:val="1A1A1A"/>
                <w:sz w:val="19"/>
                <w:szCs w:val="19"/>
              </w:rPr>
              <w:t xml:space="preserve"> y </w:t>
            </w:r>
            <w:r>
              <w:rPr>
                <w:rFonts w:ascii="Liberation Serif" w:cs="Liberation Serif" w:eastAsia="Liberation Serif" w:hAnsi="Liberation Serif"/>
                <w:b/>
                <w:bCs/>
                <w:i w:val="false"/>
                <w:iCs w:val="false"/>
                <w:color w:val="1A1A1A"/>
                <w:sz w:val="19"/>
                <w:szCs w:val="19"/>
              </w:rPr>
              <w:t xml:space="preserve">Anthropic (Claude)</w:t>
            </w:r>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Plataformas de Terceros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r>
              <w:rPr>
                <w:rFonts w:ascii="Liberation Serif" w:cs="Liberation Serif" w:eastAsia="Liberation Serif" w:hAnsi="Liberation Serif"/>
                <w:b/>
                <w:bCs/>
                <w:i w:val="false"/>
                <w:iCs w:val="false"/>
                <w:color w:val="1A1A1A"/>
                <w:sz w:val="19"/>
                <w:szCs w:val="19"/>
              </w:rPr>
              <w:t xml:space="preserve">WhatsApp Business API</w:t>
            </w:r>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Desarrollo Mayor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Persona Encargada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10 del Proyecto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Periodo de Estabilización</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Tiempo de Espera (stand-by)</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la falta o demora de EL CLIENTE en la entrega de las aportaciones, accesos, credenciales, infraestructura o insumos a su cargo conforme al </w:t>
            </w:r>
            <w:r>
              <w:rPr>
                <w:rFonts w:ascii="Liberation Serif" w:cs="Liberation Serif" w:eastAsia="Liberation Serif" w:hAnsi="Liberation Serif"/>
                <w:b/>
                <w:bCs/>
                <w:i w:val="false"/>
                <w:iCs w:val="false"/>
                <w:color w:val="1A1A1A"/>
                <w:sz w:val="19"/>
                <w:szCs w:val="19"/>
              </w:rPr>
              <w:t xml:space="preserve">Anexo Uno</w:t>
            </w:r>
            <w:r>
              <w:rPr>
                <w:rFonts w:ascii="Liberation Serif" w:cs="Liberation Serif" w:eastAsia="Liberation Serif" w:hAnsi="Liberation Serif"/>
                <w:b w:val="false"/>
                <w:bCs w:val="false"/>
                <w:i w:val="false"/>
                <w:iCs w:val="false"/>
                <w:color w:val="1A1A1A"/>
                <w:sz w:val="19"/>
                <w:szCs w:val="19"/>
              </w:rPr>
              <w:t xml:space="preserve">. Es el </w:t>
            </w:r>
            <w:r>
              <w:rPr>
                <w:rFonts w:ascii="Liberation Serif" w:cs="Liberation Serif" w:eastAsia="Liberation Serif" w:hAnsi="Liberation Serif"/>
                <w:b/>
                <w:bCs/>
                <w:i w:val="false"/>
                <w:iCs w:val="false"/>
                <w:color w:val="1A1A1A"/>
                <w:sz w:val="19"/>
                <w:szCs w:val="19"/>
              </w:rPr>
              <w:t xml:space="preserve">único</w:t>
            </w:r>
            <w:r>
              <w:rPr>
                <w:rFonts w:ascii="Liberation Serif" w:cs="Liberation Serif" w:eastAsia="Liberation Serif" w:hAnsi="Liberation Serif"/>
                <w:b w:val="false"/>
                <w:bCs w:val="false"/>
                <w:i w:val="false"/>
                <w:iCs w:val="false"/>
                <w:color w:val="1A1A1A"/>
                <w:sz w:val="19"/>
                <w:szCs w:val="19"/>
              </w:rPr>
              <w:t xml:space="preserve"> supuesto que causa stand-by (Cláusula Décima Quinta, inciso 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r>
        <w:rPr>
          <w:rFonts w:ascii="Liberation Serif" w:cs="Liberation Serif" w:eastAsia="Liberation Serif" w:hAnsi="Liberation Serif"/>
          <w:b w:val="false"/>
          <w:bCs w:val="false"/>
          <w:i w:val="false"/>
          <w:iCs w:val="false"/>
          <w:color w:val="1A1A1A"/>
          <w:sz w:val="22"/>
          <w:szCs w:val="22"/>
        </w:rPr>
        <w:t xml:space="preserve"> que los active; dicho Addendum </w:t>
      </w:r>
      <w:r>
        <w:rPr>
          <w:rFonts w:ascii="Liberation Serif" w:cs="Liberation Serif" w:eastAsia="Liberation Serif" w:hAnsi="Liberation Serif"/>
          <w:b/>
          <w:bCs/>
          <w:i w:val="false"/>
          <w:iCs w:val="false"/>
          <w:color w:val="1A1A1A"/>
          <w:sz w:val="22"/>
          <w:szCs w:val="22"/>
        </w:rPr>
        <w:t xml:space="preserve">detalla</w:t>
      </w:r>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 Cualquier servicio o entregable no comprendido expresamente se entenderá excluido y será materia de cotización por separado mediante convenio modificatorio. Para las cantidades en dólares se conviene el tipo de cambio fijo de </w:t>
      </w:r>
      <w:r>
        <w:rPr>
          <w:rFonts w:ascii="Liberation Serif" w:cs="Liberation Serif" w:eastAsia="Liberation Serif" w:hAnsi="Liberation Serif"/>
          <w:b/>
          <w:bCs/>
          <w:i w:val="false"/>
          <w:iCs w:val="false"/>
          <w:color w:val="1A1A1A"/>
          <w:sz w:val="22"/>
          <w:szCs w:val="22"/>
        </w:rPr>
        <w:t xml:space="preserve">MXN $17.80 (diecisiete pesos 80/100 M.N.) por USD $1.00 (un dólar de los Estados Unidos de América)</w:t>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r>
        <w:rPr>
          <w:rFonts w:ascii="Liberation Serif" w:cs="Liberation Serif" w:eastAsia="Liberation Serif" w:hAnsi="Liberation Serif"/>
          <w:b/>
          <w:bCs/>
          <w:i w:val="false"/>
          <w:iCs w:val="false"/>
          <w:color w:val="1A1A1A"/>
          <w:sz w:val="22"/>
          <w:szCs w:val="22"/>
        </w:rPr>
        <w:t xml:space="preserve">10 (diez)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r>
        <w:rPr>
          <w:rFonts w:ascii="Liberation Serif" w:cs="Liberation Serif" w:eastAsia="Liberation Serif" w:hAnsi="Liberation Serif"/>
          <w:b/>
          <w:bCs/>
          <w:i w:val="false"/>
          <w:iCs w:val="false"/>
          <w:color w:val="1A1A1A"/>
          <w:sz w:val="22"/>
          <w:szCs w:val="22"/>
        </w:rPr>
        <w:t xml:space="preserve">Plazos de respuesta recíprocos.</w:t>
      </w:r>
      <w:r>
        <w:rPr>
          <w:rFonts w:ascii="Liberation Serif" w:cs="Liberation Serif" w:eastAsia="Liberation Serif" w:hAnsi="Liberation Serif"/>
          <w:b w:val="false"/>
          <w:bCs w:val="false"/>
          <w:i w:val="false"/>
          <w:iCs w:val="false"/>
          <w:color w:val="1A1A1A"/>
          <w:sz w:val="22"/>
          <w:szCs w:val="22"/>
        </w:rPr>
        <w:t xml:space="preserve"> EL PRESTADOR responderá a cada solicitud de aprobación o retroalimentación de EL CLIENTE dentro de un plazo máximo de 2 (dos) días hábiles, y su silencio no se interpretará en perjuicio de EL CLIENTE ni extenderá el plazo de entrega.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 son los KPIs verificables del Anexo Dos, Sección IV (incluida la cobertura de keywords unbranded), conforme al régimen de medición ahí previsto. Sin perjuicio de lo anterior, 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formulará dichas recomendaciones por escrito y de forma fundamentada en el reporte mensual del Anexo Cinco,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r>
        <w:rPr>
          <w:rFonts w:ascii="Liberation Serif" w:cs="Liberation Serif" w:eastAsia="Liberation Serif" w:hAnsi="Liberation Serif"/>
          <w:b/>
          <w:bCs/>
          <w:i w:val="false"/>
          <w:iCs w:val="false"/>
          <w:color w:val="1A1A1A"/>
          <w:sz w:val="22"/>
          <w:szCs w:val="22"/>
        </w:rPr>
        <w:t xml:space="preserve">atención inicial 24/7 de toda conversación entrante</w:t>
      </w:r>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(atiende “BES” → escalación a operador humano a petición expresa del usuario o por política de escalamiento aprobada por EL CLIENTE → devolución de llamada agendada fuera del horario de operadores);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medición del Canal de WhatsApp y del tiempo al primer contacto, integrada al </w:t>
      </w:r>
      <w:r>
        <w:rPr>
          <w:rFonts w:ascii="Liberation Serif" w:cs="Liberation Serif" w:eastAsia="Liberation Serif" w:hAnsi="Liberation Serif"/>
          <w:b/>
          <w:bCs/>
          <w:i w:val="false"/>
          <w:iCs w:val="false"/>
          <w:color w:val="1A1A1A"/>
          <w:sz w:val="22"/>
          <w:szCs w:val="22"/>
        </w:rPr>
        <w:t xml:space="preserve">mismo funnel de resultados y dashboard del Proyecto A</w:t>
      </w:r>
      <w:r>
        <w:rPr>
          <w:rFonts w:ascii="Liberation Serif" w:cs="Liberation Serif" w:eastAsia="Liberation Serif" w:hAnsi="Liberation Serif"/>
          <w:b w:val="false"/>
          <w:bCs w:val="false"/>
          <w:i w:val="false"/>
          <w:iCs w:val="false"/>
          <w:color w:val="1A1A1A"/>
          <w:sz w:val="22"/>
          <w:szCs w:val="22"/>
        </w:rPr>
        <w:t xml:space="preserve"> —el BDS no constituye un funnel independiente—.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r>
        <w:rPr>
          <w:rFonts w:ascii="Liberation Serif" w:cs="Liberation Serif" w:eastAsia="Liberation Serif" w:hAnsi="Liberation Serif"/>
          <w:b/>
          <w:bCs/>
          <w:i w:val="false"/>
          <w:iCs w:val="false"/>
          <w:color w:val="1A1A1A"/>
          <w:sz w:val="22"/>
          <w:szCs w:val="22"/>
        </w:rPr>
        <w:t xml:space="preserve">se ejecuta en paralelo al Proyecto A cuando se activa simultáneamente</w:t>
      </w:r>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 sin modificar el cronograma del Proyecto A,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 e incluye, de manera enunciativa, la actualización de plantillas de mensajería ante cambios de política de la plataforma, la corrección de fallas de integración y los ajustes menores de enrutamiento y escalación. El desarrollo de nuevas funcionalidades no contempladas en el Addendum del BDS constituye un Desarrollo Mayor y se tramita conforme a la Cláusula Décima.</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que EL CLIENTE validará por escrito dentro de los 6 (seis) días hábiles siguientes a su presentación —la misma ventana de revisión de la Cláusula Décima—; transcurrido ese plazo sin manifestación expresa por escrito, </w:t>
      </w:r>
      <w:r>
        <w:rPr>
          <w:rFonts w:ascii="Liberation Serif" w:cs="Liberation Serif" w:eastAsia="Liberation Serif" w:hAnsi="Liberation Serif"/>
          <w:b/>
          <w:bCs/>
          <w:i w:val="false"/>
          <w:iCs w:val="false"/>
          <w:color w:val="1A1A1A"/>
          <w:sz w:val="22"/>
          <w:szCs w:val="22"/>
        </w:rPr>
        <w:t xml:space="preserve">el mapeo se entenderá aprobado</w:t>
      </w:r>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 sin perjuicio del derecho de EL CLIENTE a solicitar ajustes posteriores conforme al régimen de control de cambios de la Cláusula Décima;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C. </w:t>
      </w:r>
      <w:r>
        <w:rPr>
          <w:rFonts w:ascii="Liberation Serif" w:cs="Liberation Serif" w:eastAsia="Liberation Serif" w:hAnsi="Liberation Serif"/>
          <w:b/>
          <w:bCs/>
          <w:i w:val="false"/>
          <w:iCs w:val="false"/>
          <w:color w:val="1A1A1A"/>
          <w:sz w:val="22"/>
          <w:szCs w:val="22"/>
        </w:rPr>
        <w:t xml:space="preserve">Mantenimiento (opcional):</w:t>
      </w:r>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r>
        <w:rPr>
          <w:rFonts w:ascii="Liberation Serif" w:cs="Liberation Serif" w:eastAsia="Liberation Serif" w:hAnsi="Liberation Serif"/>
          <w:b/>
          <w:bCs/>
          <w:i w:val="false"/>
          <w:iCs w:val="false"/>
          <w:color w:val="1A1A1A"/>
          <w:sz w:val="22"/>
          <w:szCs w:val="22"/>
        </w:rPr>
        <w:t xml:space="preserve">Plazo mínimo inicial, terminación y renovación.</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darla por terminada en cualquier momento, sin penalidad ni responsabilidad alguna, mediante aviso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 a falta de aviso,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terminable por cualquiera de las Partes con el mismo aviso de 30 (treinta) días naturales.</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r>
        <w:rPr>
          <w:rFonts w:ascii="Liberation Serif" w:cs="Liberation Serif" w:eastAsia="Liberation Serif" w:hAnsi="Liberation Serif"/>
          <w:b/>
          <w:bCs/>
          <w:i w:val="false"/>
          <w:iCs w:val="false"/>
          <w:color w:val="1A1A1A"/>
          <w:sz w:val="22"/>
          <w:szCs w:val="22"/>
        </w:rPr>
        <w:t xml:space="preserve">II. Penas por incumplimiento de los niveles de servicio.</w:t>
      </w:r>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 niveles de servicio, 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III. Calendario y estimación ilustrativos.</w:t>
      </w:r>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369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Regla</w:t>
            </w:r>
          </w:p>
        </w:tc>
        <w:tc>
          <w:tcPr>
            <w:tcW w:type="dxa" w:w="147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Fecha</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los trabajos (Semana 1)</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 de septiembre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 · diseño y página pilar</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3</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fin de la Semana 5; Novena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24 de octubre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 · pre-lanzamiento</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Anexo Dos I.4: Semana 9</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Décima y Novena I: 6 días hábiles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 de diciembre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Término del Proyecto C (10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Quinta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noviembre de 2026</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Cláusula Primera</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 de enero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Inicio de la iguala del Proyecto 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II.4: primer día del mes siguiente</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Primera factura de la iguala</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Novena II.2: al cierre del mes</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28 de febrero de 2027</w:t>
            </w:r>
          </w:p>
        </w:tc>
      </w:tr>
      <w:tr>
        <w:trPr>
          <w:cantSplit/>
          <w:tblHeader w:val="false"/>
        </w:trPr>
        <w:tc>
          <w:tcPr>
            <w:tcW w:type="dxa" w:w="418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p>
        </w:tc>
        <w:tc>
          <w:tcPr>
            <w:tcW w:type="dxa" w:w="369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Sexta I</w:t>
            </w:r>
          </w:p>
        </w:tc>
        <w:tc>
          <w:tcPr>
            <w:tcW w:type="dxa" w:w="147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 de julio de 2027</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99"/>
        <w:gridCol w:w="2903"/>
        <w:gridCol w:w="1257"/>
      </w:tblGrid>
      <w:tr>
        <w:trPr>
          <w:cantSplit/>
          <w:tblHeader/>
        </w:trPr>
        <w:tc>
          <w:tcPr>
            <w:tcW w:type="dxa" w:w="519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0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Pagos Únicos (A + B + C)</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del Proyecto 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(sin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(con la iguala opcional de la Academia)</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$134,642.14 (MXN $2,396,630.00)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$2,780,090.80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$26,573.03 (MXN $473,000.00)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$548,680.00</w:t>
            </w:r>
          </w:p>
        </w:tc>
      </w:tr>
      <w:tr>
        <w:trPr>
          <w:cantSplit/>
          <w:tblHeader w:val="false"/>
        </w:trPr>
        <w:tc>
          <w:tcPr>
            <w:tcW w:type="dxa" w:w="519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Ejercicio 2027 — Iguala opcional de la Academia, enero a diciembre (12 meses)</w:t>
            </w:r>
          </w:p>
        </w:tc>
        <w:tc>
          <w:tcPr>
            <w:tcW w:type="dxa" w:w="290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$12,471.96 (MXN $222,000.00)</w:t>
            </w:r>
          </w:p>
        </w:tc>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$257,520.00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r>
        <w:rPr>
          <w:rFonts w:ascii="Liberation Serif" w:cs="Liberation Serif" w:eastAsia="Liberation Serif" w:hAnsi="Liberation Serif"/>
          <w:b/>
          <w:bCs/>
          <w:i w:val="false"/>
          <w:iCs w:val="false"/>
          <w:color w:val="1A1A1A"/>
          <w:sz w:val="22"/>
          <w:szCs w:val="22"/>
        </w:rPr>
        <w:t xml:space="preserve">ajuste máximo del 10% (diez por ciento)</w:t>
      </w:r>
      <w:r>
        <w:rPr>
          <w:rFonts w:ascii="Liberation Serif" w:cs="Liberation Serif" w:eastAsia="Liberation Serif" w:hAnsi="Liberation Serif"/>
          <w:b w:val="false"/>
          <w:bCs w:val="false"/>
          <w:i w:val="false"/>
          <w:iCs w:val="false"/>
          <w:color w:val="1A1A1A"/>
          <w:sz w:val="22"/>
          <w:szCs w:val="22"/>
        </w:rPr>
        <w:t xml:space="preserve"> sobre el precio pactado en esta Cláusula, siempre que el Addendum respectivo se suscriba dentro de los 90 (noventa) días naturales siguientes a la firma de este Contrato; transcurrido ese plazo, el precio del proyecto diferido se recotizará libremente. </w:t>
      </w:r>
      <w:r>
        <w:rPr>
          <w:rFonts w:ascii="Liberation Serif" w:cs="Liberation Serif" w:eastAsia="Liberation Serif" w:hAnsi="Liberation Serif"/>
          <w:b/>
          <w:bCs/>
          <w:i w:val="false"/>
          <w:iCs w:val="false"/>
          <w:color w:val="1A1A1A"/>
          <w:sz w:val="22"/>
          <w:szCs w:val="22"/>
        </w:rPr>
        <w:t xml:space="preserve">A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Desglose por proyecto.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10 (diez) semanas ahí pactado, con la ejecución simultánea o diferida que corresponda conforme a la Cláusula Cuarta.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“BES” sobre WhatsApp (solo texto) como atención inicial automática 24/7, conforme a la Cláusula Cuarta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del primer día del mes calendario siguiente a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emisión y presentación de las facturas en los momentos previstos en esta Cláusula </w:t>
      </w:r>
      <w:r>
        <w:rPr>
          <w:rFonts w:ascii="Liberation Serif" w:cs="Liberation Serif" w:eastAsia="Liberation Serif" w:hAnsi="Liberation Serif"/>
          <w:b/>
          <w:bCs/>
          <w:i w:val="false"/>
          <w:iCs w:val="false"/>
          <w:color w:val="1A1A1A"/>
          <w:sz w:val="22"/>
          <w:szCs w:val="22"/>
        </w:rPr>
        <w:t xml:space="preserve">no anticipan la exigibilidad del pago ni constituyen un anticipo</w:t>
      </w:r>
      <w:r>
        <w:rPr>
          <w:rFonts w:ascii="Liberation Serif" w:cs="Liberation Serif" w:eastAsia="Liberation Serif" w:hAnsi="Liberation Serif"/>
          <w:b w:val="false"/>
          <w:bCs w:val="false"/>
          <w:i w:val="false"/>
          <w:iCs w:val="false"/>
          <w:color w:val="1A1A1A"/>
          <w:sz w:val="22"/>
          <w:szCs w:val="22"/>
        </w:rPr>
        <w:t xml:space="preserve">. La factura podrá presentarse antes de la aprobación o aceptación tácita del entregable correspondiente, y su pago será exigible únicamente cuando se cumpla dicha condición conforme a la Sección I. No habrá anticipos. </w:t>
      </w:r>
      <w:r>
        <w:rPr>
          <w:rFonts w:ascii="Liberation Serif" w:cs="Liberation Serif" w:eastAsia="Liberation Serif" w:hAnsi="Liberation Serif"/>
          <w:b/>
          <w:bCs/>
          <w:i w:val="false"/>
          <w:iCs w:val="false"/>
          <w:color w:val="1A1A1A"/>
          <w:sz w:val="22"/>
          <w:szCs w:val="22"/>
        </w:rPr>
        <w:t xml:space="preserve">Alta de proveedor.</w:t>
      </w:r>
      <w:r>
        <w:rPr>
          <w:rFonts w:ascii="Liberation Serif" w:cs="Liberation Serif" w:eastAsia="Liberation Serif" w:hAnsi="Liberation Serif"/>
          <w:b w:val="false"/>
          <w:bCs w:val="false"/>
          <w:i w:val="false"/>
          <w:iCs w:val="false"/>
          <w:color w:val="1A1A1A"/>
          <w:sz w:val="22"/>
          <w:szCs w:val="22"/>
        </w:rPr>
        <w:t xml:space="preserve"> Las Partes reconocen que </w:t>
      </w:r>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r>
        <w:rPr>
          <w:rFonts w:ascii="Liberation Serif" w:cs="Liberation Serif" w:eastAsia="Liberation Serif" w:hAnsi="Liberation Serif"/>
          <w:b w:val="false"/>
          <w:bCs w:val="false"/>
          <w:i w:val="false"/>
          <w:iCs w:val="false"/>
          <w:color w:val="1A1A1A"/>
          <w:sz w:val="22"/>
          <w:szCs w:val="22"/>
        </w:rPr>
        <w:t xml:space="preserve">, con su expediente completo, por lo que </w:t>
      </w:r>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Requisitos fiscales y administrativos (lista limitativa).</w:t>
      </w:r>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CFDI vigente</w:t>
      </w:r>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Datos fiscales correctos de ambas Partes</w:t>
      </w:r>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bCs/>
          <w:i w:val="false"/>
          <w:iCs w:val="false"/>
          <w:color w:val="1A1A1A"/>
          <w:sz w:val="22"/>
          <w:szCs w:val="22"/>
        </w:rPr>
        <w:t xml:space="preserve">Uso del CFDI, forma y método de pago</w:t>
      </w:r>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bCs/>
          <w:i w:val="false"/>
          <w:iCs w:val="false"/>
          <w:color w:val="1A1A1A"/>
          <w:sz w:val="22"/>
          <w:szCs w:val="22"/>
        </w:rPr>
        <w:t xml:space="preserve">Clave de producto o servicio y clave de unidad</w:t>
      </w:r>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5. </w:t>
      </w:r>
      <w:r>
        <w:rPr>
          <w:rFonts w:ascii="Liberation Serif" w:cs="Liberation Serif" w:eastAsia="Liberation Serif" w:hAnsi="Liberation Serif"/>
          <w:b/>
          <w:bCs/>
          <w:i w:val="false"/>
          <w:iCs w:val="false"/>
          <w:color w:val="1A1A1A"/>
          <w:sz w:val="22"/>
          <w:szCs w:val="22"/>
        </w:rPr>
        <w:t xml:space="preserve">Descripción del concepto</w:t>
      </w:r>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r>
        <w:rPr>
          <w:rFonts w:ascii="Liberation Serif" w:cs="Liberation Serif" w:eastAsia="Liberation Serif" w:hAnsi="Liberation Serif"/>
          <w:b/>
          <w:bCs/>
          <w:i w:val="false"/>
          <w:iCs w:val="false"/>
          <w:color w:val="1A1A1A"/>
          <w:sz w:val="22"/>
          <w:szCs w:val="22"/>
        </w:rPr>
        <w:t xml:space="preserve">IVA desglosado</w:t>
      </w:r>
      <w:r>
        <w:rPr>
          <w:rFonts w:ascii="Liberation Serif" w:cs="Liberation Serif" w:eastAsia="Liberation Serif" w:hAnsi="Liberation Serif"/>
          <w:b w:val="false"/>
          <w:bCs w:val="false"/>
          <w:i w:val="false"/>
          <w:iCs w:val="false"/>
          <w:color w:val="1A1A1A"/>
          <w:sz w:val="22"/>
          <w:szCs w:val="22"/>
        </w:rPr>
        <w:t xml:space="preserve"> a la tasa legal vigente y el total en </w:t>
      </w:r>
      <w:r>
        <w:rPr>
          <w:rFonts w:ascii="Liberation Serif" w:cs="Liberation Serif" w:eastAsia="Liberation Serif" w:hAnsi="Liberation Serif"/>
          <w:b/>
          <w:bCs/>
          <w:i w:val="false"/>
          <w:iCs w:val="false"/>
          <w:color w:val="1A1A1A"/>
          <w:sz w:val="22"/>
          <w:szCs w:val="22"/>
        </w:rPr>
        <w:t xml:space="preserve">moneda nacional</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6. </w:t>
      </w:r>
      <w:r>
        <w:rPr>
          <w:rFonts w:ascii="Liberation Serif" w:cs="Liberation Serif" w:eastAsia="Liberation Serif" w:hAnsi="Liberation Serif"/>
          <w:b/>
          <w:bCs/>
          <w:i w:val="false"/>
          <w:iCs w:val="false"/>
          <w:color w:val="1A1A1A"/>
          <w:sz w:val="22"/>
          <w:szCs w:val="22"/>
        </w:rPr>
        <w:t xml:space="preserve">Referencia al número o identificación de este Contrato</w:t>
      </w:r>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7. </w:t>
      </w:r>
      <w:r>
        <w:rPr>
          <w:rFonts w:ascii="Liberation Serif" w:cs="Liberation Serif" w:eastAsia="Liberation Serif" w:hAnsi="Liberation Serif"/>
          <w:b/>
          <w:bCs/>
          <w:i w:val="false"/>
          <w:iCs w:val="false"/>
          <w:color w:val="1A1A1A"/>
          <w:sz w:val="22"/>
          <w:szCs w:val="22"/>
        </w:rPr>
        <w:t xml:space="preserve">Presentación</w:t>
      </w:r>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8. </w:t>
      </w:r>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p>
    <w:p>
      <w:pPr>
        <w:spacing w:after="140" w:line="264"/>
        <w:jc w:val="both"/>
      </w:pPr>
      <w:r>
        <w:rPr>
          <w:rFonts w:ascii="Liberation Serif" w:cs="Liberation Serif" w:eastAsia="Liberation Serif" w:hAnsi="Liberation Serif"/>
          <w:b/>
          <w:bCs/>
          <w:i w:val="false"/>
          <w:iCs w:val="false"/>
          <w:color w:val="1A1A1A"/>
          <w:sz w:val="22"/>
          <w:szCs w:val="22"/>
        </w:rPr>
        <w:t xml:space="preserve">Ningún otro requisito es exigible.</w:t>
      </w:r>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5 conforme al Anexo Dos), </w:t>
      </w:r>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tácita</w:t>
      </w:r>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 o se actualice respecto de ella la aceptación tácita prevista en la Cláusula Décima, lo que ocurra primero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Plazo de pago e interés moratorio.</w:t>
      </w:r>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r>
        <w:rPr>
          <w:rFonts w:ascii="Liberation Serif" w:cs="Liberation Serif" w:eastAsia="Liberation Serif" w:hAnsi="Liberation Serif"/>
          <w:b/>
          <w:bCs/>
          <w:i w:val="false"/>
          <w:iCs w:val="false"/>
          <w:color w:val="1A1A1A"/>
          <w:sz w:val="22"/>
          <w:szCs w:val="22"/>
        </w:rPr>
        <w:t xml:space="preserve">15 (quince) días naturales</w:t>
      </w:r>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r>
        <w:rPr>
          <w:rFonts w:ascii="Liberation Serif" w:cs="Liberation Serif" w:eastAsia="Liberation Serif" w:hAnsi="Liberation Serif"/>
          <w:b/>
          <w:bCs/>
          <w:i w:val="false"/>
          <w:iCs w:val="false"/>
          <w:color w:val="1A1A1A"/>
          <w:sz w:val="22"/>
          <w:szCs w:val="22"/>
        </w:rPr>
        <w:t xml:space="preserve">interés moratorio del 1.5% (uno punto cinco por ciento) mensual</w:t>
      </w:r>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r>
        <w:rPr>
          <w:rFonts w:ascii="Liberation Serif" w:cs="Liberation Serif" w:eastAsia="Liberation Serif" w:hAnsi="Liberation Serif"/>
          <w:b/>
          <w:bCs/>
          <w:i w:val="false"/>
          <w:iCs w:val="false"/>
          <w:color w:val="1A1A1A"/>
          <w:sz w:val="22"/>
          <w:szCs w:val="22"/>
        </w:rPr>
        <w:t xml:space="preserve">Objeción o rechazo de facturas.</w:t>
      </w:r>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r>
        <w:rPr>
          <w:rFonts w:ascii="Liberation Serif" w:cs="Liberation Serif" w:eastAsia="Liberation Serif" w:hAnsi="Liberation Serif"/>
          <w:b/>
          <w:bCs/>
          <w:i w:val="false"/>
          <w:iCs w:val="false"/>
          <w:color w:val="1A1A1A"/>
          <w:sz w:val="22"/>
          <w:szCs w:val="22"/>
        </w:rPr>
        <w:t xml:space="preserve">limitativa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r>
        <w:rPr>
          <w:rFonts w:ascii="Liberation Serif" w:cs="Liberation Serif" w:eastAsia="Liberation Serif" w:hAnsi="Liberation Serif"/>
          <w:b/>
          <w:bCs/>
          <w:i w:val="false"/>
          <w:iCs w:val="false"/>
          <w:color w:val="1A1A1A"/>
          <w:sz w:val="22"/>
          <w:szCs w:val="22"/>
        </w:rPr>
        <w:t xml:space="preserve">La reexpedición no modificará el vencimiento original</w:t>
      </w:r>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Cantidades razonablemente controvertidas.</w:t>
      </w:r>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r>
        <w:rPr>
          <w:rFonts w:ascii="Liberation Serif" w:cs="Liberation Serif" w:eastAsia="Liberation Serif" w:hAnsi="Liberation Serif"/>
          <w:b/>
          <w:bCs/>
          <w:i w:val="false"/>
          <w:iCs w:val="false"/>
          <w:color w:val="1A1A1A"/>
          <w:sz w:val="22"/>
          <w:szCs w:val="22"/>
        </w:rPr>
        <w:t xml:space="preserve">razonablemente controvertida únicamente</w:t>
      </w:r>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r>
        <w:rPr>
          <w:rFonts w:ascii="Liberation Serif" w:cs="Liberation Serif" w:eastAsia="Liberation Serif" w:hAnsi="Liberation Serif"/>
          <w:b w:val="false"/>
          <w:bCs w:val="false"/>
          <w:i w:val="false"/>
          <w:iCs w:val="false"/>
          <w:color w:val="1A1A1A"/>
          <w:sz w:val="22"/>
          <w:szCs w:val="22"/>
        </w:rPr>
        <w:t xml:space="preserve">. La objeción </w:t>
      </w:r>
      <w:r>
        <w:rPr>
          <w:rFonts w:ascii="Liberation Serif" w:cs="Liberation Serif" w:eastAsia="Liberation Serif" w:hAnsi="Liberation Serif"/>
          <w:b/>
          <w:bCs/>
          <w:i w:val="false"/>
          <w:iCs w:val="false"/>
          <w:color w:val="1A1A1A"/>
          <w:sz w:val="22"/>
          <w:szCs w:val="22"/>
        </w:rPr>
        <w:t xml:space="preserve">sólo alcanza al importe del concepto controvertido</w:t>
      </w:r>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r>
        <w:rPr>
          <w:rFonts w:ascii="Liberation Serif" w:cs="Liberation Serif" w:eastAsia="Liberation Serif" w:hAnsi="Liberation Serif"/>
          <w:b/>
          <w:bCs/>
          <w:i w:val="false"/>
          <w:iCs w:val="false"/>
          <w:color w:val="1A1A1A"/>
          <w:sz w:val="22"/>
          <w:szCs w:val="22"/>
        </w:rPr>
        <w:t xml:space="preserve">Cura y suspensión.</w:t>
      </w:r>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r>
        <w:rPr>
          <w:rFonts w:ascii="Liberation Serif" w:cs="Liberation Serif" w:eastAsia="Liberation Serif" w:hAnsi="Liberation Serif"/>
          <w:b/>
          <w:bCs/>
          <w:i w:val="false"/>
          <w:iCs w:val="false"/>
          <w:color w:val="1A1A1A"/>
          <w:sz w:val="22"/>
          <w:szCs w:val="22"/>
        </w:rPr>
        <w:t xml:space="preserve">dentro de los 30 (treinta) días naturales siguientes a la recepción del CFDI válido</w:t>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Periodo de Estabilización</w:t>
      </w:r>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 Lanzamiento en Firme, sin necesidad de declaración de las Partes, y cuyos ajustes EL PRESTADOR atiende sin costo adicional; a partir de esa fecha comienza a correr su plazo mínimo de 6 (seis) meses. La iguala opcional de la Academia, de haberse contratado en su Addendum, se causa a partir del primer día del mes calendario siguiente a la entrega de la Fase 1 en producción (Cláusula Octava, Sección C).</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del código contra pago.</w:t>
      </w:r>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r>
        <w:rPr>
          <w:rFonts w:ascii="Liberation Serif" w:cs="Liberation Serif" w:eastAsia="Liberation Serif" w:hAnsi="Liberation Serif"/>
          <w:b w:val="false"/>
          <w:bCs w:val="false"/>
          <w:i w:val="false"/>
          <w:iCs w:val="false"/>
          <w:color w:val="1A1A1A"/>
          <w:sz w:val="22"/>
          <w:szCs w:val="22"/>
        </w:rPr>
        <w:t xml:space="preserve">, conforme a lo siguiente: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r>
        <w:rPr>
          <w:rFonts w:ascii="Liberation Serif" w:cs="Liberation Serif" w:eastAsia="Liberation Serif" w:hAnsi="Liberation Serif"/>
          <w:b/>
          <w:bCs/>
          <w:i w:val="false"/>
          <w:iCs w:val="false"/>
          <w:color w:val="1A1A1A"/>
          <w:sz w:val="22"/>
          <w:szCs w:val="22"/>
        </w:rPr>
        <w:t xml:space="preserve">Anexo Dos, Sección I.4</w:t>
      </w:r>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la aprobación expresa y por escrito de EL CLIENTE o la aceptación tácita en los términos de esta Cláusula permiten avanzar a la etapa siguiente y producen los efectos de exigibilidad de pago previstos en la Cláusula Novena. </w:t>
      </w:r>
      <w:r>
        <w:rPr>
          <w:rFonts w:ascii="Liberation Serif" w:cs="Liberation Serif" w:eastAsia="Liberation Serif" w:hAnsi="Liberation Serif"/>
          <w:b/>
          <w:bCs/>
          <w:i w:val="false"/>
          <w:iCs w:val="false"/>
          <w:color w:val="1A1A1A"/>
          <w:sz w:val="22"/>
          <w:szCs w:val="22"/>
        </w:rPr>
        <w:t xml:space="preserve">Revisión y aceptación tácita.</w:t>
      </w:r>
      <w:r>
        <w:rPr>
          <w:rFonts w:ascii="Liberation Serif" w:cs="Liberation Serif" w:eastAsia="Liberation Serif" w:hAnsi="Liberation Serif"/>
          <w:b w:val="false"/>
          <w:bCs w:val="false"/>
          <w:i w:val="false"/>
          <w:iCs w:val="false"/>
          <w:color w:val="1A1A1A"/>
          <w:sz w:val="22"/>
          <w:szCs w:val="22"/>
        </w:rPr>
        <w:t xml:space="preserve"> EL CLIENTE contará con un plazo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r>
        <w:rPr>
          <w:rFonts w:ascii="Liberation Serif" w:cs="Liberation Serif" w:eastAsia="Liberation Serif" w:hAnsi="Liberation Serif"/>
          <w:b/>
          <w:bCs/>
          <w:i w:val="false"/>
          <w:iCs w:val="false"/>
          <w:color w:val="1A1A1A"/>
          <w:sz w:val="22"/>
          <w:szCs w:val="22"/>
        </w:rPr>
        <w:t xml:space="preserve">Cambios sobre etapas aprobadas.</w:t>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sobre elementos ya aprobados se evaluará en función del tiempo y esfuerzo adicional requerido; su costo se estimará a la tarifa horaria de la Cláusula Sexta o, si constituye un Desarrollo Mayor, mediante cotización, y se ejecutará solo con la aprobación previa y por escrito de EL CLIENTE; EL PRESTADOR informará en un plazo no mayor a 24 horas el impacto en las fechas. 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presentará el plan de remediación de la Cláusula Décima Quinta con un plazo de subsanación no menor a 15 (quince) días hábiles; si no lo presenta, o si vencido el plazo el incumplimiento subsiste, devolverá a EL CLIENTE las cantidades recibidas por ese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ese proyecto, dentro de los 30 (treinta) días naturales</w:t>
      </w:r>
      <w:r>
        <w:rPr>
          <w:rFonts w:ascii="Liberation Serif" w:cs="Liberation Serif" w:eastAsia="Liberation Serif" w:hAnsi="Liberation Serif"/>
          <w:b w:val="false"/>
          <w:bCs w:val="false"/>
          <w:i w:val="false"/>
          <w:iCs w:val="false"/>
          <w:color w:val="1A1A1A"/>
          <w:sz w:val="22"/>
          <w:szCs w:val="22"/>
        </w:rPr>
        <w:t xml:space="preserve"> siguientes.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 y </w:t>
      </w:r>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 no limitativa: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 sin que ningún colaborador de EL PRESTADOR quede a disposición ni bajo la dirección de EL CLIENTE.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 dentro del alcance pactado y conforme al procedimiento de definición y control de cambios del Anexo Uno</w:t>
      </w:r>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 y contra los pagos que correspondan, EL CLIENTE recibirá el código fuente, los repositorios,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da lugar a las consecuencias previstas en la Cláusula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I. Indemnización.</w:t>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 y representantes, de las reclamaciones de terceros derivadas de: (a) el incumplimiento de EL PRESTADOR a las leyes aplicables; (b) la infracción de derechos de propiedad intelectual de terceros por los entregables, en los términos de la Cláusula Décima Sexta; o (c) actos u omisiones dolosos o negligentes de EL PRESTADOR, su personal o sus subcontratistas en la prestación de los Servicios; siempre que la reclamación no derive de un hecho, instrucción o insumo atribuible a EL CLIENTE, que EL CLIENTE la notifique oportunamente y que otorgue a EL PRESTADOR el control de la defensa, sin perjuicio del derecho de EL CLIENTE a intervenir con sus propios asesores, cuyos honorarios razonables reembolsará EL PRESTADOR cuando exista conflicto de interés en la defensa. Esta obligación queda sujeta a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Obtener, mantener vigentes y exhibir a requerimiento de EL CLIENTE las licencias, permisos, autorizaciones y registros necesarios para la prestación de los Servicios, siendo el único responsable frente a la autoridad por su incumplimiento.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 a las leyes, reglamentos y normas aplicables y dar cabal cumplimiento a los términos, plazos y especificaciones del Contrato, sus Anexos y Addenda, que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componente, fase y entregable en los plazos, formatos y estándares pactados. El retraso no justificado por causas atribuibles a EL CLIENTE, o por caso fortuito o fuerza mayor debidamente acreditados, sujeta a EL PRESTADOR a las consecuencias de la Cláusula Décima Quinta, sin perjuicio del derecho de EL CLIENTE a exigir el cumplimiento 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cuenta con los derechos y licencias suficientes para su uso, explotación y cesión a EL CLIENTE, y que no infringen derechos de autor, marcas, patentes, secretos industriales ni otros derechos de terceros. EL PRESTADOR entregará en cada hito un inventario de los componentes de software de terceros 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 autorización previa y por escrito de EL CLIENTE antes de su integración. Los insumos aportados por EL CLIENTE (fotografías, marcas, textos y bases de conocimiento) quedan bajo la garantía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sobre los entregables en los términos de la Cláusula Décima Sexta y entregarle, sin costo adicional, el código fuente, los repositorios, las credenciales de administración, las bases de datos y la documentación técnica necesarios para operar, mantener y modificar los entregables de manera autónoma, conforme a la Cláusula Novena, Sección III, es decir, </w:t>
      </w:r>
      <w:r>
        <w:rPr>
          <w:rFonts w:ascii="Liberation Serif" w:cs="Liberation Serif" w:eastAsia="Liberation Serif" w:hAnsi="Liberation Serif"/>
          <w:b/>
          <w:bCs/>
          <w:i w:val="false"/>
          <w:iCs w:val="false"/>
          <w:color w:val="1A1A1A"/>
          <w:sz w:val="22"/>
          <w:szCs w:val="22"/>
        </w:rPr>
        <w:t xml:space="preserve">por mitades y contra cada exhibición efectivamente pagada</w:t>
      </w:r>
      <w:r>
        <w:rPr>
          <w:rFonts w:ascii="Liberation Serif" w:cs="Liberation Serif" w:eastAsia="Liberation Serif" w:hAnsi="Liberation Serif"/>
          <w:b w:val="false"/>
          <w:bCs w:val="false"/>
          <w:i w:val="false"/>
          <w:iCs w:val="false"/>
          <w:color w:val="1A1A1A"/>
          <w:sz w:val="22"/>
          <w:szCs w:val="22"/>
        </w:rPr>
        <w:t xml:space="preserve">, dentro de los </w:t>
      </w:r>
      <w:r>
        <w:rPr>
          <w:rFonts w:ascii="Liberation Serif" w:cs="Liberation Serif" w:eastAsia="Liberation Serif" w:hAnsi="Liberation Serif"/>
          <w:b/>
          <w:bCs/>
          <w:i w:val="false"/>
          <w:iCs w:val="false"/>
          <w:color w:val="1A1A1A"/>
          <w:sz w:val="22"/>
          <w:szCs w:val="22"/>
        </w:rPr>
        <w:t xml:space="preserve">5 (cinco) días hábiles</w:t>
      </w:r>
      <w:r>
        <w:rPr>
          <w:rFonts w:ascii="Liberation Serif" w:cs="Liberation Serif" w:eastAsia="Liberation Serif" w:hAnsi="Liberation Serif"/>
          <w:b w:val="false"/>
          <w:bCs w:val="false"/>
          <w:i w:val="false"/>
          <w:iCs w:val="false"/>
          <w:color w:val="1A1A1A"/>
          <w:sz w:val="22"/>
          <w:szCs w:val="22"/>
        </w:rPr>
        <w:t xml:space="preserve"> siguientes a cada pago. La falta de entrega en ese plazo constituye incumplimiento sujeto al procedimiento de subsanación de la Cláusula Décima Quinta y al límite de responsabilidad de la Cláusula Vigésima, salvo que se acredite alguno de los supuestos de su fracción IV.</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conocimiento de EL CLIENTE, y cumplir la legislación de protección de datos personales conforme a las Cláusulas Décima Séptima y Décima Octava, respondiendo por las vulneraciones de seguridad, el uso indebido o la divulgación no autorizada que resulten de su actuación, la de su personal o la de sus subcontratistas, en los términos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VIII. Garantía de corrección.</w:t>
      </w:r>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r>
        <w:rPr>
          <w:rFonts w:ascii="Liberation Serif" w:cs="Liberation Serif" w:eastAsia="Liberation Serif" w:hAnsi="Liberation Serif"/>
          <w:b/>
          <w:bCs/>
          <w:i w:val="false"/>
          <w:iCs w:val="false"/>
          <w:color w:val="1A1A1A"/>
          <w:sz w:val="22"/>
          <w:szCs w:val="22"/>
        </w:rPr>
        <w:t xml:space="preserve">IX.</w:t>
      </w:r>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p>
    <w:p>
      <w:pPr>
        <w:spacing w:after="140" w:line="264"/>
        <w:jc w:val="both"/>
      </w:pPr>
      <w:r>
        <w:rPr>
          <w:rFonts w:ascii="Liberation Serif" w:cs="Liberation Serif" w:eastAsia="Liberation Serif" w:hAnsi="Liberation Serif"/>
          <w:b/>
          <w:bCs/>
          <w:i w:val="false"/>
          <w:iCs w:val="false"/>
          <w:color w:val="1A1A1A"/>
          <w:sz w:val="22"/>
          <w:szCs w:val="22"/>
        </w:rPr>
        <w:t xml:space="preserve">X.</w:t>
      </w:r>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los Servicios, garantizar una transición ordenada, con la transferencia de conocimiento necesaria, sin afectar la calidad, continuidad ni plazos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—o a través del tercero que EL CLIENTE designe por escrito—, sin intervención alguna de EL PRESTADOR</w:t>
      </w:r>
      <w:r>
        <w:rPr>
          <w:rFonts w:ascii="Liberation Serif" w:cs="Liberation Serif" w:eastAsia="Liberation Serif" w:hAnsi="Liberation Serif"/>
          <w:b w:val="false"/>
          <w:bCs w:val="false"/>
          <w:i w:val="false"/>
          <w:iCs w:val="false"/>
          <w:color w:val="1A1A1A"/>
          <w:sz w:val="22"/>
          <w:szCs w:val="22"/>
        </w:rPr>
        <w:t xml:space="preserve"> (plataforma de voz, Modelos de Lenguaje Autorizados y mensajería de WhatsApp Business API). EL PRESTADOR no contrata, no administra ni anticipa dichos consumos, no es parte de la relación entre EL CLIENTE y esos proveedores y no responde por su facturación, suspensión o cancelación.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 y la elección y sustitución entre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r>
        <w:rPr>
          <w:rFonts w:ascii="Liberation Serif" w:cs="Liberation Serif" w:eastAsia="Liberation Serif" w:hAnsi="Liberation Serif"/>
          <w:b w:val="false"/>
          <w:bCs w:val="false"/>
          <w:i w:val="false"/>
          <w:iCs w:val="false"/>
          <w:color w:val="1A1A1A"/>
          <w:sz w:val="22"/>
          <w:szCs w:val="22"/>
        </w:rPr>
        <w:t xml:space="preserve">, la incumplida contará con </w:t>
      </w:r>
      <w:r>
        <w:rPr>
          <w:rFonts w:ascii="Liberation Serif" w:cs="Liberation Serif" w:eastAsia="Liberation Serif" w:hAnsi="Liberation Serif"/>
          <w:b/>
          <w:bCs/>
          <w:i w:val="false"/>
          <w:iCs w:val="false"/>
          <w:color w:val="1A1A1A"/>
          <w:sz w:val="22"/>
          <w:szCs w:val="22"/>
        </w:rPr>
        <w:t xml:space="preserve">10 (diez) días hábiles</w:t>
      </w:r>
      <w:r>
        <w:rPr>
          <w:rFonts w:ascii="Liberation Serif" w:cs="Liberation Serif" w:eastAsia="Liberation Serif" w:hAnsi="Liberation Serif"/>
          <w:b w:val="false"/>
          <w:bCs w:val="false"/>
          <w:i w:val="false"/>
          <w:iCs w:val="false"/>
          <w:color w:val="1A1A1A"/>
          <w:sz w:val="22"/>
          <w:szCs w:val="22"/>
        </w:rPr>
        <w:t xml:space="preserve"> para subsanar, conforme a la Cláusula Novena.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los 5 (cinco) días hábiles siguientes a la notificación,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Retrasos imputables a EL CLIENTE.</w:t>
      </w:r>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r>
        <w:rPr>
          <w:rFonts w:ascii="Liberation Serif" w:cs="Liberation Serif" w:eastAsia="Liberation Serif" w:hAnsi="Liberation Serif"/>
          <w:b/>
          <w:bCs/>
          <w:i w:val="false"/>
          <w:iCs w:val="false"/>
          <w:color w:val="1A1A1A"/>
          <w:sz w:val="22"/>
          <w:szCs w:val="22"/>
        </w:rPr>
        <w:t xml:space="preserve">de manera limitativa</w:t>
      </w:r>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r>
        <w:rPr>
          <w:rFonts w:ascii="Liberation Serif" w:cs="Liberation Serif" w:eastAsia="Liberation Serif" w:hAnsi="Liberation Serif"/>
          <w:b/>
          <w:bCs/>
          <w:i w:val="false"/>
          <w:iCs w:val="false"/>
          <w:color w:val="1A1A1A"/>
          <w:sz w:val="22"/>
          <w:szCs w:val="22"/>
        </w:rPr>
        <w:t xml:space="preserve">días de stand-by del equipo</w:t>
      </w:r>
      <w:r>
        <w:rPr>
          <w:rFonts w:ascii="Liberation Serif" w:cs="Liberation Serif" w:eastAsia="Liberation Serif" w:hAnsi="Liberation Serif"/>
          <w:b w:val="false"/>
          <w:bCs w:val="false"/>
          <w:i w:val="false"/>
          <w:iCs w:val="false"/>
          <w:color w:val="1A1A1A"/>
          <w:sz w:val="22"/>
          <w:szCs w:val="22"/>
        </w:rPr>
        <w:t xml:space="preserve"> a razón de </w:t>
      </w:r>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Franquicia.</w:t>
      </w:r>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r>
        <w:rPr>
          <w:rFonts w:ascii="Liberation Serif" w:cs="Liberation Serif" w:eastAsia="Liberation Serif" w:hAnsi="Liberation Serif"/>
          <w:b/>
          <w:bCs/>
          <w:i w:val="false"/>
          <w:iCs w:val="false"/>
          <w:color w:val="1A1A1A"/>
          <w:sz w:val="22"/>
          <w:szCs w:val="22"/>
        </w:rPr>
        <w:t xml:space="preserve">5 (cinco) días hábiles sin cargo</w:t>
      </w:r>
      <w:r>
        <w:rPr>
          <w:rFonts w:ascii="Liberation Serif" w:cs="Liberation Serif" w:eastAsia="Liberation Serif" w:hAnsi="Liberation Serif"/>
          <w:b w:val="false"/>
          <w:bCs w:val="false"/>
          <w:i w:val="false"/>
          <w:iCs w:val="false"/>
          <w:color w:val="1A1A1A"/>
          <w:sz w:val="22"/>
          <w:szCs w:val="22"/>
        </w:rPr>
        <w:t xml:space="preserve">; el stand-by se causa </w:t>
      </w:r>
      <w:r>
        <w:rPr>
          <w:rFonts w:ascii="Liberation Serif" w:cs="Liberation Serif" w:eastAsia="Liberation Serif" w:hAnsi="Liberation Serif"/>
          <w:b/>
          <w:bCs/>
          <w:i w:val="false"/>
          <w:iCs w:val="false"/>
          <w:color w:val="1A1A1A"/>
          <w:sz w:val="22"/>
          <w:szCs w:val="22"/>
        </w:rPr>
        <w:t xml:space="preserve">a partir del sexto día hábil de cada evento</w:t>
      </w:r>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extendiéndose el plazo lo necesario, 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el cambio se cotiza y se cobra conforme a la Cláusula Décima, </w:t>
      </w:r>
      <w:r>
        <w:rPr>
          <w:rFonts w:ascii="Liberation Serif" w:cs="Liberation Serif" w:eastAsia="Liberation Serif" w:hAnsi="Liberation Serif"/>
          <w:b/>
          <w:bCs/>
          <w:i w:val="false"/>
          <w:iCs w:val="false"/>
          <w:color w:val="1A1A1A"/>
          <w:sz w:val="22"/>
          <w:szCs w:val="22"/>
        </w:rPr>
        <w:t xml:space="preserve">sin cargo de stand-by</w:t>
      </w:r>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Obra por encargo y cesión.</w:t>
      </w:r>
      <w:r>
        <w:rPr>
          <w:rFonts w:ascii="Liberation Serif" w:cs="Liberation Serif" w:eastAsia="Liberation Serif" w:hAnsi="Liberation Serif"/>
          <w:b w:val="false"/>
          <w:bCs w:val="false"/>
          <w:i w:val="false"/>
          <w:iCs w:val="false"/>
          <w:color w:val="1A1A1A"/>
          <w:sz w:val="22"/>
          <w:szCs w:val="22"/>
        </w:rPr>
        <w:t xml:space="preserve"> EL CLIENTE será titular de los derechos patrimoniales sobre los desarrollos generados específicamente para EL CLIENTE como resultado del cumplimiento del Contrato —de manera enunciativa: el código fuente del sitio y de las integraciones específicas, los repositorios, las plantillas de página, el contenido editorial, las imágenes producidas para EL CLIENTE, los datos estructurados, la configuración y los prompts específicos de “BES” para EL CLIENTE, y la documentación de los entregables—, 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p>
    <w:p>
      <w:pPr>
        <w:spacing w:after="140" w:line="264"/>
        <w:jc w:val="both"/>
      </w:pPr>
      <w:r>
        <w:rPr>
          <w:rFonts w:ascii="Liberation Serif" w:cs="Liberation Serif" w:eastAsia="Liberation Serif" w:hAnsi="Liberation Serif"/>
          <w:b/>
          <w:bCs/>
          <w:i w:val="false"/>
          <w:iCs w:val="false"/>
          <w:color w:val="1A1A1A"/>
          <w:sz w:val="22"/>
          <w:szCs w:val="22"/>
        </w:rPr>
        <w:t xml:space="preserve">II. Componentes Preexistentes.</w:t>
      </w:r>
      <w:r>
        <w:rPr>
          <w:rFonts w:ascii="Liberation Serif" w:cs="Liberation Serif" w:eastAsia="Liberation Serif" w:hAnsi="Liberation Serif"/>
          <w:b w:val="false"/>
          <w:bCs w:val="false"/>
          <w:i w:val="false"/>
          <w:iCs w:val="false"/>
          <w:color w:val="1A1A1A"/>
          <w:sz w:val="22"/>
          <w:szCs w:val="22"/>
        </w:rPr>
        <w:t xml:space="preserve"> Quedan excluidos de la cesión y de la entrega en código fuente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 de uso general, las plantillas maestras, los prompts de sistema de uso general, las metodologías y las herramientas de desarrollo—, sobre los cuales EL PRESTADOR conserva la titularidad exclusiva.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 intransferible y libre de regalías</w:t>
      </w:r>
      <w:r>
        <w:rPr>
          <w:rFonts w:ascii="Liberation Serif" w:cs="Liberation Serif" w:eastAsia="Liberation Serif" w:hAnsi="Liberation Serif"/>
          <w:b w:val="false"/>
          <w:bCs w:val="false"/>
          <w:i w:val="false"/>
          <w:iCs w:val="false"/>
          <w:color w:val="1A1A1A"/>
          <w:sz w:val="22"/>
          <w:szCs w:val="22"/>
        </w:rPr>
        <w:t xml:space="preserve"> para usar, operar, 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r>
        <w:rPr>
          <w:rFonts w:ascii="Liberation Serif" w:cs="Liberation Serif" w:eastAsia="Liberation Serif" w:hAnsi="Liberation Serif"/>
          <w:b/>
          <w:bCs/>
          <w:i w:val="false"/>
          <w:iCs w:val="false"/>
          <w:color w:val="1A1A1A"/>
          <w:sz w:val="22"/>
          <w:szCs w:val="22"/>
        </w:rPr>
        <w:t xml:space="preserve">Anexo Dos, Sección V</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 Entrega y garantía.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p>
    <w:p>
      <w:pPr>
        <w:spacing w:after="140" w:line="264"/>
        <w:jc w:val="both"/>
      </w:pPr>
      <w:r>
        <w:rPr>
          <w:rFonts w:ascii="Liberation Serif" w:cs="Liberation Serif" w:eastAsia="Liberation Serif" w:hAnsi="Liberation Serif"/>
          <w:b/>
          <w:bCs/>
          <w:i w:val="false"/>
          <w:iCs w:val="false"/>
          <w:color w:val="1A1A1A"/>
          <w:sz w:val="22"/>
          <w:szCs w:val="22"/>
        </w:rPr>
        <w:t xml:space="preserve">IV. Garantía de no infracción e indemnización.</w:t>
      </w:r>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Confidencialidad.</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r>
        <w:rPr>
          <w:rFonts w:ascii="Liberation Serif" w:cs="Liberation Serif" w:eastAsia="Liberation Serif" w:hAnsi="Liberation Serif"/>
          <w:b/>
          <w:bCs/>
          <w:i w:val="false"/>
          <w:iCs w:val="false"/>
          <w:color w:val="1A1A1A"/>
          <w:sz w:val="22"/>
          <w:szCs w:val="22"/>
        </w:rPr>
        <w:t xml:space="preserve">II. Datos personales.</w:t>
      </w:r>
      <w:r>
        <w:rPr>
          <w:rFonts w:ascii="Liberation Serif" w:cs="Liberation Serif" w:eastAsia="Liberation Serif" w:hAnsi="Liberation Serif"/>
          <w:b w:val="false"/>
          <w:bCs w:val="false"/>
          <w:i w:val="false"/>
          <w:iCs w:val="false"/>
          <w:color w:val="1A1A1A"/>
          <w:sz w:val="22"/>
          <w:szCs w:val="22"/>
        </w:rPr>
        <w:t xml:space="preserve"> 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r>
        <w:rPr>
          <w:rFonts w:ascii="Liberation Serif" w:cs="Liberation Serif" w:eastAsia="Liberation Serif" w:hAnsi="Liberation Serif"/>
          <w:b/>
          <w:bCs/>
          <w:i w:val="false"/>
          <w:iCs w:val="false"/>
          <w:color w:val="1A1A1A"/>
          <w:sz w:val="22"/>
          <w:szCs w:val="22"/>
        </w:rPr>
        <w:t xml:space="preserve">III. Medidas de seguridad y vulneraciones.</w:t>
      </w:r>
      <w:r>
        <w:rPr>
          <w:rFonts w:ascii="Liberation Serif" w:cs="Liberation Serif" w:eastAsia="Liberation Serif" w:hAnsi="Liberation Serif"/>
          <w:b w:val="false"/>
          <w:bCs w:val="false"/>
          <w:i w:val="false"/>
          <w:iCs w:val="false"/>
          <w:color w:val="1A1A1A"/>
          <w:sz w:val="22"/>
          <w:szCs w:val="22"/>
        </w:rPr>
        <w:t xml:space="preserve"> EL PRESTADOR adoptará las medidas de seguridad administrativas, técnicas y físicas de la Cláusula Décima Octava para evitar la alteración, pérdida, tratamiento, transferencia o acceso no autorizados de los datos personales, y notificará a EL CLIENTE cualquier vulneración de seguridad sin dilación indebida y a más tardar en el plazo de la Cláusula Décima Octava, apartado IV, indicando la magnitud de la exposición, los datos comprometidos y las acciones emprendidas. </w:t>
      </w:r>
      <w:r>
        <w:rPr>
          <w:rFonts w:ascii="Liberation Serif" w:cs="Liberation Serif" w:eastAsia="Liberation Serif" w:hAnsi="Liberation Serif"/>
          <w:b/>
          <w:bCs/>
          <w:i w:val="false"/>
          <w:iCs w:val="false"/>
          <w:color w:val="1A1A1A"/>
          <w:sz w:val="22"/>
          <w:szCs w:val="22"/>
        </w:rPr>
        <w:t xml:space="preserve">IV. Uso, supresión y devolución.</w:t>
      </w:r>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 la Cláusula Décima Octava, apartado VI. </w:t>
      </w:r>
      <w:r>
        <w:rPr>
          <w:rFonts w:ascii="Liberation Serif" w:cs="Liberation Serif" w:eastAsia="Liberation Serif" w:hAnsi="Liberation Serif"/>
          <w:b/>
          <w:bCs/>
          <w:i w:val="false"/>
          <w:iCs w:val="false"/>
          <w:color w:val="1A1A1A"/>
          <w:sz w:val="22"/>
          <w:szCs w:val="22"/>
        </w:rPr>
        <w:t xml:space="preserve">V. Responsabilidad.</w:t>
      </w:r>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“BES”</w:t>
      </w:r>
      <w:r>
        <w:rPr>
          <w:rFonts w:ascii="Liberation Serif" w:cs="Liberation Serif" w:eastAsia="Liberation Serif" w:hAnsi="Liberation Serif"/>
          <w:b w:val="false"/>
          <w:bCs w:val="false"/>
          <w:i w:val="false"/>
          <w:iCs w:val="false"/>
          <w:color w:val="1A1A1A"/>
          <w:sz w:val="22"/>
          <w:szCs w:val="22"/>
        </w:rPr>
        <w:t xml:space="preserve"> (canal web y, activado el Proyecto B, WhatsApp), incluidas las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incluidas sus evaluaciones y las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los datos personales alojados, procesados o transmitidos a través de las plataformas de terceros que EL PRESTADOR integre para la prestación de los Servicios.</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“BES”)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sistema</w:t>
      </w:r>
      <w:r>
        <w:rPr>
          <w:rFonts w:ascii="Liberation Serif" w:cs="Liberation Serif" w:eastAsia="Liberation Serif" w:hAnsi="Liberation Serif"/>
          <w:b w:val="false"/>
          <w:bCs w:val="false"/>
          <w:i w:val="false"/>
          <w:iCs w:val="false"/>
          <w:color w:val="1A1A1A"/>
          <w:sz w:val="22"/>
          <w:szCs w:val="22"/>
        </w:rPr>
        <w:t xml:space="preserve"> del proyecto. EL PRESTADOR documentará y pondrá a disposición de EL CLIENTE, dentro de los 10 (diez) días hábiles siguientes a su solicitud, evidencia técnica verificable (bitácoras, configuración de retención o reportes del proveedor de hospedaje) del cumplimiento de este principio. Respecto de las plataformas de voz, del modelo de razonamiento y de WhatsApp Business API utilizadas para “BES” y el BDS, EL PRESTADOR configurará los periodos de retención más breves que permita cada plataforma y que sean compatibles con la operación pactada, e informará por escrito a EL CLIENTE, antes de la activación del canal correspondiente, la política de retención 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r>
        <w:rPr>
          <w:rFonts w:ascii="Liberation Serif" w:cs="Liberation Serif" w:eastAsia="Liberation Serif" w:hAnsi="Liberation Serif"/>
          <w:b/>
          <w:bCs/>
          <w:i w:val="false"/>
          <w:iCs w:val="false"/>
          <w:color w:val="1A1A1A"/>
          <w:sz w:val="22"/>
          <w:szCs w:val="22"/>
        </w:rPr>
        <w:t xml:space="preserve">persona encargada</w:t>
      </w:r>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con bitácora de accesos a datos personales que registre usuario, fecha, hora, operación e identificador del registro, sin copiar el dato, a disposición de EL CLIENTE cuando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operativas 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autenticación multifactor para administradores y operadores en los sistemas administrados por EL PRESTADOR (consola interna, tablero, repositorios y paneles de las plataformas de terceros) y, para los usuarios de EL CLIENTE, mediante el proveedor de identidad de EL CLIENTE (Anexo Uno, 0.4);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semestral de estas medidas, documentada en el reporte mensual del Anexo Cinco;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 de las condiciones de privacidad y seguridad de toda nueva plataforma de terceros antes de integrarla a los Proyectos, con aviso previo por escrito a EL CLIENTE y autorización expresa de éste cuando la plataforma no ofrezca garantías razonablemente equivalentes a las aquí pactadas.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 sin dilación indebida y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 las medidas de contención adoptadas y las acciones remediales propuestas con su calendario,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persona encargada,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 dicho apoyo incluirá, sin costo adicional, la localización, extracción, rectificación o eliminación de los datos que obren en sistemas bajo control de EL PRESTADOR dentro de los 3 (tres) días hábiles siguientes a la solicitud de EL CLIENTE.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 Esta obligación queda sujeta al tope único de la Cláusula Vigésima.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Limitación de Responsabilidad.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Tope general.</w:t>
      </w:r>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r>
        <w:rPr>
          <w:rFonts w:ascii="Liberation Serif" w:cs="Liberation Serif" w:eastAsia="Liberation Serif" w:hAnsi="Liberation Serif"/>
          <w:b w:val="false"/>
          <w:bCs w:val="false"/>
          <w:i w:val="false"/>
          <w:iCs w:val="false"/>
          <w:color w:val="1A1A1A"/>
          <w:sz w:val="22"/>
          <w:szCs w:val="22"/>
        </w:rPr>
        <w:t xml:space="preserve">. Dicho tope es </w:t>
      </w:r>
      <w:r>
        <w:rPr>
          <w:rFonts w:ascii="Liberation Serif" w:cs="Liberation Serif" w:eastAsia="Liberation Serif" w:hAnsi="Liberation Serif"/>
          <w:b/>
          <w:bCs/>
          <w:i w:val="false"/>
          <w:iCs w:val="false"/>
          <w:color w:val="1A1A1A"/>
          <w:sz w:val="22"/>
          <w:szCs w:val="22"/>
        </w:rPr>
        <w:t xml:space="preserve">agregado y no se multiplica</w:t>
      </w:r>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r>
        <w:rPr>
          <w:rFonts w:ascii="Liberation Serif" w:cs="Liberation Serif" w:eastAsia="Liberation Serif" w:hAnsi="Liberation Serif"/>
          <w:b/>
          <w:bCs/>
          <w:i w:val="false"/>
          <w:iCs w:val="false"/>
          <w:color w:val="1A1A1A"/>
          <w:sz w:val="22"/>
          <w:szCs w:val="22"/>
        </w:rPr>
        <w:t xml:space="preserve">II. Daños excluidos.</w:t>
      </w:r>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r>
        <w:rPr>
          <w:rFonts w:ascii="Liberation Serif" w:cs="Liberation Serif" w:eastAsia="Liberation Serif" w:hAnsi="Liberation Serif"/>
          <w:b/>
          <w:bCs/>
          <w:i w:val="false"/>
          <w:iCs w:val="false"/>
          <w:color w:val="1A1A1A"/>
          <w:sz w:val="22"/>
          <w:szCs w:val="22"/>
        </w:rPr>
        <w:t xml:space="preserve">III. Tope único y universal.</w:t>
      </w:r>
      <w:r>
        <w:rPr>
          <w:rFonts w:ascii="Liberation Serif" w:cs="Liberation Serif" w:eastAsia="Liberation Serif" w:hAnsi="Liberation Serif"/>
          <w:b w:val="false"/>
          <w:bCs w:val="false"/>
          <w:i w:val="false"/>
          <w:iCs w:val="false"/>
          <w:color w:val="1A1A1A"/>
          <w:sz w:val="22"/>
          <w:szCs w:val="22"/>
        </w:rPr>
        <w:t xml:space="preserve"> El tope de la fracción I es </w:t>
      </w:r>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r>
        <w:rPr>
          <w:rFonts w:ascii="Liberation Serif" w:cs="Liberation Serif" w:eastAsia="Liberation Serif" w:hAnsi="Liberation Serif"/>
          <w:b/>
          <w:bCs/>
          <w:i w:val="false"/>
          <w:iCs w:val="false"/>
          <w:color w:val="1A1A1A"/>
          <w:sz w:val="22"/>
          <w:szCs w:val="22"/>
        </w:rPr>
        <w:t xml:space="preserve">incluidas de manera enunciativa y no limitativa</w:t>
      </w:r>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IV. Excepciones.</w:t>
      </w:r>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r>
        <w:rPr>
          <w:rFonts w:ascii="Liberation Serif" w:cs="Liberation Serif" w:eastAsia="Liberation Serif" w:hAnsi="Liberation Serif"/>
          <w:b/>
          <w:bCs/>
          <w:i w:val="false"/>
          <w:iCs w:val="false"/>
          <w:color w:val="1A1A1A"/>
          <w:sz w:val="22"/>
          <w:szCs w:val="22"/>
        </w:rPr>
        <w:t xml:space="preserve">dolo o mala fe</w:t>
      </w:r>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r>
        <w:rPr>
          <w:rFonts w:ascii="Liberation Serif" w:cs="Liberation Serif" w:eastAsia="Liberation Serif" w:hAnsi="Liberation Serif"/>
          <w:b/>
          <w:bCs/>
          <w:i w:val="false"/>
          <w:iCs w:val="false"/>
          <w:color w:val="1A1A1A"/>
          <w:sz w:val="22"/>
          <w:szCs w:val="22"/>
        </w:rPr>
        <w:t xml:space="preserve">V. Infraestructura de EL CLIENTE.</w:t>
      </w:r>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PRIMERA. Caso Fortuito y Fuerza Mayor.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 Regla general.</w:t>
      </w:r>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r>
        <w:rPr>
          <w:rFonts w:ascii="Liberation Serif" w:cs="Liberation Serif" w:eastAsia="Liberation Serif" w:hAnsi="Liberation Serif"/>
          <w:b/>
          <w:bCs/>
          <w:i w:val="false"/>
          <w:iCs w:val="false"/>
          <w:color w:val="1A1A1A"/>
          <w:sz w:val="22"/>
          <w:szCs w:val="22"/>
        </w:rPr>
        <w:t xml:space="preserve">II. Aviso.</w:t>
      </w:r>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r>
        <w:rPr>
          <w:rFonts w:ascii="Liberation Serif" w:cs="Liberation Serif" w:eastAsia="Liberation Serif" w:hAnsi="Liberation Serif"/>
          <w:b/>
          <w:bCs/>
          <w:i w:val="false"/>
          <w:iCs w:val="false"/>
          <w:color w:val="1A1A1A"/>
          <w:sz w:val="22"/>
          <w:szCs w:val="22"/>
        </w:rPr>
        <w:t xml:space="preserve">III. Plataformas de terceros.</w:t>
      </w:r>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r>
        <w:rPr>
          <w:rFonts w:ascii="Liberation Serif" w:cs="Liberation Serif" w:eastAsia="Liberation Serif" w:hAnsi="Liberation Serif"/>
          <w:b/>
          <w:bCs/>
          <w:i w:val="false"/>
          <w:iCs w:val="false"/>
          <w:color w:val="1A1A1A"/>
          <w:sz w:val="22"/>
          <w:szCs w:val="22"/>
        </w:rPr>
        <w:t xml:space="preserve">IV. Plan de continuidad.</w:t>
      </w:r>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r>
        <w:rPr>
          <w:rFonts w:ascii="Liberation Serif" w:cs="Liberation Serif" w:eastAsia="Liberation Serif" w:hAnsi="Liberation Serif"/>
          <w:b/>
          <w:bCs/>
          <w:i w:val="false"/>
          <w:iCs w:val="false"/>
          <w:color w:val="1A1A1A"/>
          <w:sz w:val="22"/>
          <w:szCs w:val="22"/>
        </w:rPr>
        <w:t xml:space="preserve">Modelos de Lenguaje Autorizados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Migración entre modelos de lenguaje.</w:t>
      </w:r>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r>
        <w:rPr>
          <w:rFonts w:ascii="Liberation Serif" w:cs="Liberation Serif" w:eastAsia="Liberation Serif" w:hAnsi="Liberation Serif"/>
          <w:b/>
          <w:bCs/>
          <w:i w:val="false"/>
          <w:iCs w:val="false"/>
          <w:color w:val="1A1A1A"/>
          <w:sz w:val="22"/>
          <w:szCs w:val="22"/>
        </w:rPr>
        <w:t xml:space="preserve">dentro de las 48 (cuarenta y ocho) horas siguientes</w:t>
      </w:r>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r>
        <w:rPr>
          <w:rFonts w:ascii="Liberation Serif" w:cs="Liberation Serif" w:eastAsia="Liberation Serif" w:hAnsi="Liberation Serif"/>
          <w:b/>
          <w:bCs/>
          <w:i w:val="false"/>
          <w:iCs w:val="false"/>
          <w:color w:val="1A1A1A"/>
          <w:sz w:val="22"/>
          <w:szCs w:val="22"/>
        </w:rPr>
        <w:t xml:space="preserve">Plataformas sin sustituto.</w:t>
      </w:r>
      <w:r>
        <w:rPr>
          <w:rFonts w:ascii="Liberation Serif" w:cs="Liberation Serif" w:eastAsia="Liberation Serif" w:hAnsi="Liberation Serif"/>
          <w:b w:val="false"/>
          <w:bCs w:val="false"/>
          <w:i w:val="false"/>
          <w:iCs w:val="false"/>
          <w:color w:val="1A1A1A"/>
          <w:sz w:val="22"/>
          <w:szCs w:val="22"/>
        </w:rPr>
        <w:t xml:space="preserve"> Las Partes reconocen que la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de Meta </w:t>
      </w:r>
      <w:r>
        <w:rPr>
          <w:rFonts w:ascii="Liberation Serif" w:cs="Liberation Serif" w:eastAsia="Liberation Serif" w:hAnsi="Liberation Serif"/>
          <w:b/>
          <w:bCs/>
          <w:i w:val="false"/>
          <w:iCs w:val="false"/>
          <w:color w:val="1A1A1A"/>
          <w:sz w:val="22"/>
          <w:szCs w:val="22"/>
        </w:rPr>
        <w:t xml:space="preserve">no tiene sustituto funcional</w:t>
      </w:r>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r>
        <w:rPr>
          <w:rFonts w:ascii="Liberation Serif" w:cs="Liberation Serif" w:eastAsia="Liberation Serif" w:hAnsi="Liberation Serif"/>
          <w:b/>
          <w:bCs/>
          <w:i w:val="false"/>
          <w:iCs w:val="false"/>
          <w:color w:val="1A1A1A"/>
          <w:sz w:val="22"/>
          <w:szCs w:val="22"/>
        </w:rPr>
        <w:t xml:space="preserve">V. Efectos.</w:t>
      </w:r>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 la iguala se rige por su plazo mínimo de 6 (seis) meses, por su terminación con </w:t>
      </w:r>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previsto en la Cláusula Sexta. EL CLIENTE podrá terminar sin causa el Contrato o cualquiera de sus proyectos con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ese pago</w:t>
      </w:r>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 Esta regla aplica igualmente a los Proyectos B y C que se hubieren activado.</w:t>
      </w:r>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cuando no haya sido rescindida o terminada conforme a su propio régimen, que continuará rigiéndose por el plazo mínimo, la renovación automática y la cancelación de la Cláusula Sexta; la supervivencia de este inciso no reactiva una iguala que ya haya terminado ni obliga a prestar servicios recurrentes después de su terminación efectiva;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cualquiera de las Partes a sus subsidiarias, filiales o sociedades bajo control común, con aviso previo por escrito y sin que la cedente quede liberada.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el cuerpo del Contrato, salvo la modificación expresa posterior suscrita por ambas Partes en los términos del inciso d).</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g) </w:t>
      </w:r>
      <w:r>
        <w:rPr>
          <w:rFonts w:ascii="Liberation Serif" w:cs="Liberation Serif" w:eastAsia="Liberation Serif" w:hAnsi="Liberation Serif"/>
          <w:b/>
          <w:bCs/>
          <w:i w:val="false"/>
          <w:iCs w:val="false"/>
          <w:color w:val="1A1A1A"/>
          <w:sz w:val="22"/>
          <w:szCs w:val="22"/>
        </w:rPr>
        <w:t xml:space="preserve">No captación de personal.</w:t>
      </w:r>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r>
        <w:rPr>
          <w:rFonts w:ascii="Liberation Serif" w:cs="Liberation Serif" w:eastAsia="Liberation Serif" w:hAnsi="Liberation Serif"/>
          <w:b/>
          <w:bCs/>
          <w:i w:val="false"/>
          <w:iCs w:val="false"/>
          <w:color w:val="1A1A1A"/>
          <w:sz w:val="22"/>
          <w:szCs w:val="22"/>
        </w:rPr>
        <w:t xml:space="preserve">Divisibilidad.</w:t>
      </w:r>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r>
        <w:rPr>
          <w:rFonts w:ascii="Liberation Serif" w:cs="Liberation Serif" w:eastAsia="Liberation Serif" w:hAnsi="Liberation Serif"/>
          <w:b w:val="false"/>
          <w:bCs w:val="false"/>
          <w:i w:val="false"/>
          <w:iCs w:val="false"/>
          <w:color w:val="1A1A1A"/>
          <w:sz w:val="22"/>
          <w:szCs w:val="22"/>
        </w:rPr>
        <w:t xml:space="preserve"> i) </w:t>
      </w:r>
      <w:r>
        <w:rPr>
          <w:rFonts w:ascii="Liberation Serif" w:cs="Liberation Serif" w:eastAsia="Liberation Serif" w:hAnsi="Liberation Serif"/>
          <w:b/>
          <w:bCs/>
          <w:i w:val="false"/>
          <w:iCs w:val="false"/>
          <w:color w:val="1A1A1A"/>
          <w:sz w:val="22"/>
          <w:szCs w:val="22"/>
        </w:rPr>
        <w:t xml:space="preserve">No renuncia de derechos.</w:t>
      </w:r>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r>
        <w:rPr>
          <w:rFonts w:ascii="Liberation Serif" w:cs="Liberation Serif" w:eastAsia="Liberation Serif" w:hAnsi="Liberation Serif"/>
          <w:b/>
          <w:bCs/>
          <w:i w:val="false"/>
          <w:iCs w:val="false"/>
          <w:color w:val="1A1A1A"/>
          <w:sz w:val="22"/>
          <w:szCs w:val="22"/>
        </w:rPr>
        <w:t xml:space="preserve">Ejemplares y firma electrónica.</w:t>
      </w:r>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r>
        <w:rPr>
          <w:rFonts w:ascii="Liberation Serif" w:cs="Liberation Serif" w:eastAsia="Liberation Serif" w:hAnsi="Liberation Serif"/>
          <w:b/>
          <w:bCs/>
          <w:i w:val="false"/>
          <w:iCs w:val="false"/>
          <w:color w:val="1A1A1A"/>
          <w:sz w:val="22"/>
          <w:szCs w:val="22"/>
        </w:rPr>
        <w:t xml:space="preserve">firma electrónica o digital</w:t>
      </w:r>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Partes señalan como sus domicilios los siguientes: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_______________________</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cuyo desarrollo dentro del alcance pactado no altera por sí mismo el precio ni el plazo, sin perjuicio del control de cambios y de las extensiones que procedan conforme al Contrato: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 </w:t>
      </w:r>
      <w:r>
        <w:rPr>
          <w:rFonts w:ascii="Liberation Serif" w:cs="Liberation Serif" w:eastAsia="Liberation Serif" w:hAnsi="Liberation Serif"/>
          <w:b/>
          <w:bCs/>
          <w:i w:val="false"/>
          <w:iCs w:val="false"/>
          <w:color w:val="1A1A1A"/>
          <w:sz w:val="22"/>
          <w:szCs w:val="22"/>
        </w:rPr>
        <w:t xml:space="preserve">con el número de membresía y el teléfono del nuevo socio</w:t>
      </w:r>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Cancelación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número de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fecha de cancelación</w:t>
      </w:r>
      <w:r>
        <w:rPr>
          <w:rFonts w:ascii="Liberation Serif" w:cs="Liberation Serif" w:eastAsia="Liberation Serif" w:hAnsi="Liberation Serif"/>
          <w:b w:val="false"/>
          <w:bCs w:val="false"/>
          <w:i w:val="false"/>
          <w:iCs w:val="false"/>
          <w:color w:val="1A1A1A"/>
          <w:sz w:val="22"/>
          <w:szCs w:val="22"/>
        </w:rPr>
        <w:t xml:space="preserve"> y, cuando el CRM lo registre, </w:t>
      </w:r>
      <w:r>
        <w:rPr>
          <w:rFonts w:ascii="Liberation Serif" w:cs="Liberation Serif" w:eastAsia="Liberation Serif" w:hAnsi="Liberation Serif"/>
          <w:b/>
          <w:bCs/>
          <w:i w:val="false"/>
          <w:iCs w:val="false"/>
          <w:color w:val="1A1A1A"/>
          <w:sz w:val="22"/>
          <w:szCs w:val="22"/>
        </w:rPr>
        <w:t xml:space="preserve">motivo de la cancelación</w:t>
      </w:r>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r>
        <w:rPr>
          <w:rFonts w:ascii="Liberation Serif" w:cs="Liberation Serif" w:eastAsia="Liberation Serif" w:hAnsi="Liberation Serif"/>
          <w:b w:val="false"/>
          <w:bCs w:val="false"/>
          <w:i/>
          <w:iCs/>
          <w:color w:val="1A1A1A"/>
          <w:sz w:val="22"/>
          <w:szCs w:val="22"/>
        </w:rPr>
        <w:t xml:space="preserve">Vía alternativa para el dato de membresías nuevas</w:t>
      </w:r>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r>
        <w:rPr>
          <w:rFonts w:ascii="Liberation Serif" w:cs="Liberation Serif" w:eastAsia="Liberation Serif" w:hAnsi="Liberation Serif"/>
          <w:b/>
          <w:bCs/>
          <w:i w:val="false"/>
          <w:iCs w:val="false"/>
          <w:color w:val="1A1A1A"/>
          <w:sz w:val="22"/>
          <w:szCs w:val="22"/>
        </w:rPr>
        <w:t xml:space="preserve">medición de retención</w:t>
      </w:r>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Frecuencia de actualización.</w:t>
      </w:r>
      <w:r>
        <w:rPr>
          <w:rFonts w:ascii="Liberation Serif" w:cs="Liberation Serif" w:eastAsia="Liberation Serif" w:hAnsi="Liberation Serif"/>
          <w:b w:val="false"/>
          <w:bCs w:val="false"/>
          <w:i w:val="false"/>
          <w:iCs w:val="false"/>
          <w:color w:val="1A1A1A"/>
          <w:sz w:val="20"/>
          <w:szCs w:val="20"/>
        </w:rPr>
        <w:t xml:space="preserve"> La totalidad del catálogo —</w:t>
      </w:r>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r>
        <w:rPr>
          <w:rFonts w:ascii="Liberation Serif" w:cs="Liberation Serif" w:eastAsia="Liberation Serif" w:hAnsi="Liberation Serif"/>
          <w:b w:val="false"/>
          <w:bCs w:val="false"/>
          <w:i w:val="false"/>
          <w:iCs w:val="false"/>
          <w:color w:val="1A1A1A"/>
          <w:sz w:val="20"/>
          <w:szCs w:val="20"/>
        </w:rPr>
        <w:t xml:space="preserve">— se sincroniza </w:t>
      </w:r>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r>
        <w:rPr>
          <w:rFonts w:ascii="Liberation Serif" w:cs="Liberation Serif" w:eastAsia="Liberation Serif" w:hAnsi="Liberation Serif"/>
          <w:b w:val="false"/>
          <w:bCs w:val="false"/>
          <w:i w:val="false"/>
          <w:iCs w:val="false"/>
          <w:color w:val="1A1A1A"/>
          <w:sz w:val="20"/>
          <w:szCs w:val="20"/>
        </w:rPr>
        <w:t xml:space="preserve">. Lo registrado en el CRM hasta las </w:t>
      </w:r>
      <w:r>
        <w:rPr>
          <w:rFonts w:ascii="Liberation Serif" w:cs="Liberation Serif" w:eastAsia="Liberation Serif" w:hAnsi="Liberation Serif"/>
          <w:b/>
          <w:bCs/>
          <w:i w:val="false"/>
          <w:iCs w:val="false"/>
          <w:color w:val="1A1A1A"/>
          <w:sz w:val="20"/>
          <w:szCs w:val="20"/>
        </w:rPr>
        <w:t xml:space="preserve">05:59</w:t>
      </w:r>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r>
        <w:rPr>
          <w:rFonts w:ascii="Liberation Serif" w:cs="Liberation Serif" w:eastAsia="Liberation Serif" w:hAnsi="Liberation Serif"/>
          <w:b/>
          <w:bCs/>
          <w:i w:val="false"/>
          <w:iCs w:val="false"/>
          <w:color w:val="1A1A1A"/>
          <w:sz w:val="20"/>
          <w:szCs w:val="20"/>
        </w:rPr>
        <w:t xml:space="preserve">sincronización manual inmediata</w:t>
      </w:r>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r>
        <w:rPr>
          <w:rFonts w:ascii="Liberation Serif" w:cs="Liberation Serif" w:eastAsia="Liberation Serif" w:hAnsi="Liberation Serif"/>
          <w:b/>
          <w:bCs/>
          <w:i w:val="false"/>
          <w:iCs w:val="false"/>
          <w:color w:val="1A1A1A"/>
          <w:sz w:val="20"/>
          <w:szCs w:val="20"/>
        </w:rPr>
        <w:t xml:space="preserve">únicamente</w:t>
      </w:r>
      <w:r>
        <w:rPr>
          <w:rFonts w:ascii="Liberation Serif" w:cs="Liberation Serif" w:eastAsia="Liberation Serif" w:hAnsi="Liberation Serif"/>
          <w:b w:val="false"/>
          <w:bCs w:val="false"/>
          <w:i w:val="false"/>
          <w:iCs w:val="false"/>
          <w:color w:val="1A1A1A"/>
          <w:sz w:val="20"/>
          <w:szCs w:val="20"/>
        </w:rPr>
        <w:t xml:space="preserve"> para la </w:t>
      </w:r>
      <w:r>
        <w:rPr>
          <w:rFonts w:ascii="Liberation Serif" w:cs="Liberation Serif" w:eastAsia="Liberation Serif" w:hAnsi="Liberation Serif"/>
          <w:b/>
          <w:bCs/>
          <w:i w:val="false"/>
          <w:iCs w:val="false"/>
          <w:color w:val="1A1A1A"/>
          <w:sz w:val="20"/>
          <w:szCs w:val="20"/>
        </w:rPr>
        <w:t xml:space="preserve">escritura del prospecto</w:t>
      </w:r>
      <w:r>
        <w:rPr>
          <w:rFonts w:ascii="Liberation Serif" w:cs="Liberation Serif" w:eastAsia="Liberation Serif" w:hAnsi="Liberation Serif"/>
          <w:b w:val="false"/>
          <w:bCs w:val="false"/>
          <w:i w:val="false"/>
          <w:iCs w:val="false"/>
          <w:color w:val="1A1A1A"/>
          <w:sz w:val="20"/>
          <w:szCs w:val="20"/>
        </w:rPr>
        <w:t xml:space="preserve"> (Bloque B).</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Dicha base </w:t>
      </w:r>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r>
        <w:rPr>
          <w:rFonts w:ascii="Liberation Serif" w:cs="Liberation Serif" w:eastAsia="Liberation Serif" w:hAnsi="Liberation Serif"/>
          <w:b w:val="false"/>
          <w:bCs w:val="false"/>
          <w:i w:val="false"/>
          <w:iCs w:val="false"/>
          <w:color w:val="1A1A1A"/>
          <w:sz w:val="20"/>
          <w:szCs w:val="20"/>
        </w:rPr>
        <w:t xml:space="preserve">. La conciliación se realiza por </w:t>
      </w:r>
      <w:r>
        <w:rPr>
          <w:rFonts w:ascii="Liberation Serif" w:cs="Liberation Serif" w:eastAsia="Liberation Serif" w:hAnsi="Liberation Serif"/>
          <w:b/>
          <w:bCs/>
          <w:i w:val="false"/>
          <w:iCs w:val="false"/>
          <w:color w:val="1A1A1A"/>
          <w:sz w:val="20"/>
          <w:szCs w:val="20"/>
        </w:rPr>
        <w:t xml:space="preserve">nombre, apellido, teléfono y club</w:t>
      </w:r>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 y los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(No se solicita.)</w:t>
      </w:r>
      <w:r>
        <w:rPr>
          <w:rFonts w:ascii="Liberation Serif" w:cs="Liberation Serif" w:eastAsia="Liberation Serif" w:hAnsi="Liberation Serif"/>
          <w:b w:val="false"/>
          <w:bCs w:val="false"/>
          <w:i w:val="false"/>
          <w:iCs w:val="false"/>
          <w:color w:val="1A1A1A"/>
          <w:sz w:val="22"/>
          <w:szCs w:val="22"/>
        </w:rPr>
        <w:t xml:space="preserve"> El proyecto </w:t>
      </w:r>
      <w:r>
        <w:rPr>
          <w:rFonts w:ascii="Liberation Serif" w:cs="Liberation Serif" w:eastAsia="Liberation Serif" w:hAnsi="Liberation Serif"/>
          <w:b/>
          <w:bCs/>
          <w:i w:val="false"/>
          <w:iCs w:val="false"/>
          <w:color w:val="1A1A1A"/>
          <w:sz w:val="22"/>
          <w:szCs w:val="22"/>
        </w:rPr>
        <w:t xml:space="preserve">no requiere un punto de acceso de consulta de socios</w:t>
      </w:r>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D.2 y 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E.10</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Médico designado</w:t>
      </w:r>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 de cómputo, memoria, almacenamiento y ancho de banda</w:t>
      </w:r>
      <w:r>
        <w:rPr>
          <w:rFonts w:ascii="Liberation Serif" w:cs="Liberation Serif" w:eastAsia="Liberation Serif" w:hAnsi="Liberation Serif"/>
          <w:b w:val="false"/>
          <w:bCs w:val="false"/>
          <w:i w:val="false"/>
          <w:iCs w:val="false"/>
          <w:color w:val="1A1A1A"/>
          <w:sz w:val="22"/>
          <w:szCs w:val="22"/>
        </w:rPr>
        <w:t xml:space="preserve"> conforme a la especificación del documento </w:t>
      </w:r>
      <w:r>
        <w:rPr>
          <w:rFonts w:ascii="Liberation Serif" w:cs="Liberation Serif" w:eastAsia="Liberation Serif" w:hAnsi="Liberation Serif"/>
          <w:b w:val="false"/>
          <w:bCs w:val="false"/>
          <w:i/>
          <w:iCs/>
          <w:color w:val="1A1A1A"/>
          <w:sz w:val="22"/>
          <w:szCs w:val="22"/>
        </w:rPr>
        <w:t xml:space="preserve">Plan de Ejecución, Sección 4</w:t>
      </w:r>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r>
        <w:rPr>
          <w:rFonts w:ascii="Liberation Serif" w:cs="Liberation Serif" w:eastAsia="Liberation Serif" w:hAnsi="Liberation Serif"/>
          <w:b/>
          <w:bCs/>
          <w:i w:val="false"/>
          <w:iCs w:val="false"/>
          <w:color w:val="1A1A1A"/>
          <w:sz w:val="22"/>
          <w:szCs w:val="22"/>
        </w:rPr>
        <w:t xml:space="preserve">única</w:t>
      </w:r>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6866"/>
            <w:tcMar>
              <w:top w:type="dxa" w:w="60"/>
              <w:left w:type="dxa" w:w="90"/>
              <w:bottom w:type="dxa" w:w="60"/>
              <w:right w:type="dxa" w:w="90"/>
            </w:tcMar>
            <w:vAlign w:val="top"/>
          </w:tcPr>
          <w:p>
            <w:pPr>
              <w:spacing w:after="0" w:line="252"/>
            </w:pPr>
            <w:r>
              <w:rPr>
                <w:sz w:val="19"/>
                <w:szCs w:val="19"/>
              </w:rPr>
              <w:t xml:space="preserve"/>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r>
        <w:rPr>
          <w:rFonts w:ascii="Liberation Serif" w:cs="Liberation Serif" w:eastAsia="Liberation Serif" w:hAnsi="Liberation Serif"/>
          <w:b/>
          <w:bCs/>
          <w:i w:val="false"/>
          <w:iCs w:val="false"/>
          <w:color w:val="1A1A1A"/>
          <w:sz w:val="22"/>
          <w:szCs w:val="22"/>
        </w:rPr>
        <w:t xml:space="preserve">Clubes adicionales.</w:t>
      </w:r>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r>
        <w:rPr>
          <w:rFonts w:ascii="Liberation Serif" w:cs="Liberation Serif" w:eastAsia="Liberation Serif" w:hAnsi="Liberation Serif"/>
          <w:b/>
          <w:bCs/>
          <w:i w:val="false"/>
          <w:iCs w:val="false"/>
          <w:color w:val="1A1A1A"/>
          <w:sz w:val="22"/>
          <w:szCs w:val="22"/>
        </w:rPr>
        <w:t xml:space="preserve">schema</w:t>
      </w:r>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orden de trabajo aprobada por escrito</w:t>
      </w:r>
      <w:r>
        <w:rPr>
          <w:rFonts w:ascii="Liberation Serif" w:cs="Liberation Serif" w:eastAsia="Liberation Serif" w:hAnsi="Liberation Serif"/>
          <w:b w:val="false"/>
          <w:bCs w:val="false"/>
          <w:i w:val="false"/>
          <w:iCs w:val="false"/>
          <w:color w:val="1A1A1A"/>
          <w:sz w:val="22"/>
          <w:szCs w:val="22"/>
        </w:rPr>
        <w:t xml:space="preserve">, sin necesidad de convenio modificatorio. </w:t>
      </w:r>
      <w:r>
        <w:rPr>
          <w:rFonts w:ascii="Liberation Serif" w:cs="Liberation Serif" w:eastAsia="Liberation Serif" w:hAnsi="Liberation Serif"/>
          <w:b/>
          <w:bCs/>
          <w:i w:val="false"/>
          <w:iCs w:val="false"/>
          <w:color w:val="1A1A1A"/>
          <w:sz w:val="22"/>
          <w:szCs w:val="22"/>
        </w:rPr>
        <w:t xml:space="preserve">Su ejecución se cotiza en horas:</w:t>
      </w:r>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r>
        <w:rPr>
          <w:rFonts w:ascii="Liberation Serif" w:cs="Liberation Serif" w:eastAsia="Liberation Serif" w:hAnsi="Liberation Serif"/>
          <w:b/>
          <w:bCs/>
          <w:i w:val="false"/>
          <w:iCs w:val="false"/>
          <w:color w:val="1A1A1A"/>
          <w:sz w:val="22"/>
          <w:szCs w:val="22"/>
        </w:rPr>
        <w:t xml:space="preserve">primero contra la bolsa de mejora disponible en el mes</w:t>
      </w:r>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r>
        <w:rPr>
          <w:rFonts w:ascii="Liberation Serif" w:cs="Liberation Serif" w:eastAsia="Liberation Serif" w:hAnsi="Liberation Serif"/>
          <w:b/>
          <w:bCs/>
          <w:i w:val="false"/>
          <w:iCs w:val="false"/>
          <w:color w:val="1A1A1A"/>
          <w:sz w:val="22"/>
          <w:szCs w:val="22"/>
        </w:rPr>
        <w:t xml:space="preserve">La bolsa de mejora no es acumulable de un mes a otro</w:t>
      </w:r>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 coordinación con el médico designado por EL CLIENTE conforme al Anexo Uno, E.10, para la firma del hub “Bajar de Peso”; configuración de Google Search Console y GA4; y reporte ejecutivo semanal.</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 comprometidas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r>
        <w:rPr>
          <w:rFonts w:ascii="Liberation Serif" w:cs="Liberation Serif" w:eastAsia="Liberation Serif" w:hAnsi="Liberation Serif"/>
          <w:b/>
          <w:bCs/>
          <w:i w:val="false"/>
          <w:iCs w:val="false"/>
          <w:color w:val="1A1A1A"/>
          <w:sz w:val="22"/>
          <w:szCs w:val="22"/>
        </w:rPr>
        <w:t xml:space="preserve">etapas de instrumentación operativa</w:t>
      </w:r>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r>
        <w:rPr>
          <w:rFonts w:ascii="Liberation Serif" w:cs="Liberation Serif" w:eastAsia="Liberation Serif" w:hAnsi="Liberation Serif"/>
          <w:b/>
          <w:bCs/>
          <w:i w:val="false"/>
          <w:iCs w:val="false"/>
          <w:color w:val="1A1A1A"/>
          <w:sz w:val="22"/>
          <w:szCs w:val="22"/>
        </w:rPr>
        <w:t xml:space="preserve">no amplían el alcance ni los KPIs comprometidos</w:t>
      </w:r>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r>
        <w:rPr>
          <w:rFonts w:ascii="Liberation Serif" w:cs="Liberation Serif" w:eastAsia="Liberation Serif" w:hAnsi="Liberation Serif"/>
          <w:b w:val="false"/>
          <w:bCs w:val="false"/>
          <w:i/>
          <w:iCs/>
          <w:color w:val="1A1A1A"/>
          <w:sz w:val="22"/>
          <w:szCs w:val="22"/>
        </w:rPr>
        <w:t xml:space="preserve">Mapa del Funnel</w:t>
      </w:r>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del </w:t>
      </w:r>
      <w:r>
        <w:rPr>
          <w:rFonts w:ascii="Liberation Serif" w:cs="Liberation Serif" w:eastAsia="Liberation Serif" w:hAnsi="Liberation Serif"/>
          <w:b/>
          <w:bCs/>
          <w:i w:val="false"/>
          <w:iCs w:val="false"/>
          <w:color w:val="1A1A1A"/>
          <w:sz w:val="22"/>
          <w:szCs w:val="22"/>
        </w:rPr>
        <w:t xml:space="preserve">Periodo de Estabilización de 6 (seis) semanas</w:t>
      </w:r>
      <w:r>
        <w:rPr>
          <w:rFonts w:ascii="Liberation Serif" w:cs="Liberation Serif" w:eastAsia="Liberation Serif" w:hAnsi="Liberation Serif"/>
          <w:b w:val="false"/>
          <w:bCs w:val="false"/>
          <w:i w:val="false"/>
          <w:iCs w:val="false"/>
          <w:color w:val="1A1A1A"/>
          <w:sz w:val="22"/>
          <w:szCs w:val="22"/>
        </w:rPr>
        <w:t xml:space="preserve"> (Cláusula Primera y Anexo Cinco, apartado V) con atención reforzada y corrección de los defectos respecto de las especificaciones de este Anexo y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10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57"/>
        <w:gridCol w:w="1752"/>
        <w:gridCol w:w="1313"/>
        <w:gridCol w:w="1313"/>
        <w:gridCol w:w="3723"/>
      </w:tblGrid>
      <w:tr>
        <w:trPr>
          <w:cantSplit/>
          <w:tblHeader/>
        </w:trPr>
        <w:tc>
          <w:tcPr>
            <w:tcW w:type="dxa" w:w="12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75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3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7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Valor de etapa (para efectos de la Cláusula Décima)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3</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5</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9</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35% del Pago Único del Proyecto A</w:t>
            </w:r>
          </w:p>
        </w:tc>
      </w:tr>
      <w:tr>
        <w:trPr>
          <w:cantSplit/>
          <w:tblHeader w:val="false"/>
        </w:trPr>
        <w:tc>
          <w:tcPr>
            <w:tcW w:type="dxa" w:w="12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75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10</w:t>
            </w:r>
          </w:p>
        </w:tc>
        <w:tc>
          <w:tcPr>
            <w:tcW w:type="dxa" w:w="131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 días hábiles</w:t>
            </w:r>
          </w:p>
        </w:tc>
        <w:tc>
          <w:tcPr>
            <w:tcW w:type="dxa" w:w="37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15% del Pago Único del Proyecto A</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r>
        <w:rPr>
          <w:rFonts w:ascii="Liberation Serif" w:cs="Liberation Serif" w:eastAsia="Liberation Serif" w:hAnsi="Liberation Serif"/>
          <w:b/>
          <w:bCs/>
          <w:i w:val="false"/>
          <w:iCs w:val="false"/>
          <w:color w:val="1A1A1A"/>
          <w:sz w:val="22"/>
          <w:szCs w:val="22"/>
        </w:rPr>
        <w:t xml:space="preserve">6 (seis) días hábiles</w:t>
      </w:r>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10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Esta tarifa podrá revisarse mediante </w:t>
      </w:r>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Cualquier proyecto nuevo que implique un Desarrollo Mayor deberá contar con cotización previa y autorización expresa por escrito de EL CLIENTE antes de iniciar su ejecución.</w:t>
      </w:r>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—páginas crawleables, enlaces rotos, schema markup, páginas sin H1, Core Web Vitals y código de fixes implementado— se verifican al Lanzamiento en Firme y condicionan la aprobación final conforme a la Cláusula Décima, con las precisiones de medición de esta Sección. La validación funcional del código no exige la entrega anticipada del código fuente ni de los repositorios, cuya transferencia se realiza contra las exhibiciones efectivamente pagadas conforme a la Cláusula Novena, Sección III.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KPI de cobertura de keywords unbranded conserva exclusivamente el régimen de medición a 12 (doce) meses, las condiciones y el remedio ya establecidos en esta Sección. Su incumplimiento no se equipara al incumplimiento de los KPIs de implementación ni genera las penas del Anexo Cinco. Para su comparación se utilizarán de manera consistente la fuente, el ámbito y los criterios de la auditoría que constituye la línea base.</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216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Naturaleza</w:t>
            </w:r>
          </w:p>
        </w:tc>
        <w:tc>
          <w:tcPr>
            <w:tcW w:type="dxa" w:w="36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Qué recibe EL CLIENTE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Obra por encargo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finales</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Desarrollo específico</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Titularidad y archivos de configuración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Componente Preexistente</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p>
        </w:tc>
      </w:tr>
      <w:tr>
        <w:trPr>
          <w:cantSplit/>
          <w:tblHeader w:val="false"/>
        </w:trPr>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Software de terceros y de código abierto</w:t>
            </w:r>
          </w:p>
        </w:tc>
        <w:tc>
          <w:tcPr>
            <w:tcW w:type="dxa" w:w="216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Licencias de terceros</w:t>
            </w:r>
          </w:p>
        </w:tc>
        <w:tc>
          <w:tcPr>
            <w:tcW w:type="dxa" w:w="36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versión 1.2, de julio de 2026, o la versión actualizada que las Partes acuerden antes de la firma,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66"/>
        <w:gridCol w:w="4189"/>
        <w:gridCol w:w="2838"/>
        <w:gridCol w:w="1166"/>
      </w:tblGrid>
      <w:tr>
        <w:trPr>
          <w:cantSplit/>
          <w:tblHeader/>
        </w:trPr>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418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283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418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283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automática en un máximo de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 hábiles</w:t>
      </w:r>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r>
        <w:rPr>
          <w:rFonts w:ascii="Liberation Serif" w:cs="Liberation Serif" w:eastAsia="Liberation Serif" w:hAnsi="Liberation Serif"/>
          <w:b/>
          <w:bCs/>
          <w:i w:val="false"/>
          <w:iCs w:val="false"/>
          <w:color w:val="1A1A1A"/>
          <w:sz w:val="22"/>
          <w:szCs w:val="22"/>
        </w:rPr>
        <w:t xml:space="preserve">6 (seis) semanas</w:t>
      </w:r>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 con atención reforzada: EL PRESTADOR monitorea el sitio bajo tráfico real y corrige los defectos respecto de las especificaciones del Anexo Dos y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Durante el Periodo de Estabilización se corrigen sin costo los Defectos y ajustes de lanzamiento comprendidos en el alcance pactado. Entre su conclusión y el inicio de la iguala continúa la garantía de corrección en los términos de la Cláusula Décima Segunda, fracción VIII. A partir del inicio de la iguala, las nuevas mejoras consumen la bolsa de horas y las fallas se atienden bajo el SLA de este Anexo; terminada la iguala, únicamente subsiste la garantía en los términos de dicha fracción.</w:t>
      </w:r>
    </w:p>
    <w:p>
      <w:pPr>
        <w:spacing w:after="140" w:line="264"/>
        <w:jc w:val="both"/>
      </w:pPr>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Incumplimiento</w:t>
            </w:r>
          </w:p>
        </w:tc>
        <w:tc>
          <w:tcPr>
            <w:tcW w:type="dxa" w:w="262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Pena</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 por evento</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de la iguala del mes</w:t>
            </w:r>
          </w:p>
        </w:tc>
      </w:tr>
      <w:tr>
        <w:trPr>
          <w:cantSplit/>
          <w:tblHeader w:val="false"/>
        </w:trPr>
        <w:tc>
          <w:tcPr>
            <w:tcW w:type="dxa" w:w="673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Tope conjunto mensual</w:t>
            </w:r>
          </w:p>
        </w:tc>
        <w:tc>
          <w:tcPr>
            <w:tcW w:type="dxa" w:w="262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10% de la iguala del mes</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10 de septiembre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Versión limpia</dc:description>
  <cp:lastModifiedBy>Un-named</cp:lastModifiedBy>
  <cp:revision>1</cp:revision>
  <dcterms:created xsi:type="dcterms:W3CDTF">2026-09-14T00:50:45.105Z</dcterms:created>
  <dcterms:modified xsi:type="dcterms:W3CDTF">2026-09-14T00:50:45.105Z</dcterms:modified>
</cp:coreProperties>
</file>

<file path=docProps/custom.xml><?xml version="1.0" encoding="utf-8"?>
<Properties xmlns="http://schemas.openxmlformats.org/officeDocument/2006/custom-properties" xmlns:vt="http://schemas.openxmlformats.org/officeDocument/2006/docPropsVTypes"/>
</file>