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0"/>
        <w:jc w:val="center"/>
      </w:pPr>
      <w:r>
        <w:rPr>
          <w:rFonts w:ascii="Liberation Serif" w:cs="Liberation Serif" w:eastAsia="Liberation Serif" w:hAnsi="Liberation Serif"/>
          <w:b/>
          <w:bCs/>
          <w:i w:val="false"/>
          <w:iCs w:val="false"/>
          <w:color w:val="1A1A1A"/>
          <w:sz w:val="28"/>
          <w:szCs w:val="28"/>
        </w:rPr>
        <w:t xml:space="preserve">Sports World · 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r>
        <w:rPr>
          <w:rFonts w:ascii="Liberation Serif" w:cs="Liberation Serif" w:eastAsia="Liberation Serif" w:hAnsi="Liberation Serif"/>
          <w:b w:val="false"/>
          <w:bCs w:val="false"/>
          <w:i w:val="false"/>
          <w:iCs w:val="false"/>
          <w:color w:val="1A1A1A"/>
          <w:sz w:val="20"/>
          <w:szCs w:val="20"/>
        </w:rPr>
        <w:t xml:space="preserve"> Responde al borrador marcado por EL CLIENTE del 13 de agosto al 1 de septiembre de 2026. En la versión marcada, los comentarios al margen indican qué cambios de EL CLIENTE se aceptan, cuáles se aceptan con condición y cuáles se sustituyen.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 facultades que no le han sido revocadas ni limitadas.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 no requieren el registro previsto en el artículo 15 de dicha Ley (REPSE) ni actualizan los supuestos del artículo 15-D del Código Fiscal de la Federación.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Addenda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Modelos de Lenguaje Autorizados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de </w:t>
            </w:r>
            <w:r>
              <w:rPr>
                <w:rFonts w:ascii="Liberation Serif" w:cs="Liberation Serif" w:eastAsia="Liberation Serif" w:hAnsi="Liberation Serif"/>
                <w:b/>
                <w:bCs/>
                <w:i w:val="false"/>
                <w:iCs w:val="false"/>
                <w:color w:val="1A1A1A"/>
                <w:sz w:val="19"/>
                <w:szCs w:val="19"/>
              </w:rPr>
              <w:t xml:space="preserve">Google (Gemini)</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OpenAI (GPT)</w:t>
            </w:r>
            <w:r>
              <w:rPr>
                <w:rFonts w:ascii="Liberation Serif" w:cs="Liberation Serif" w:eastAsia="Liberation Serif" w:hAnsi="Liberation Serif"/>
                <w:b w:val="false"/>
                <w:bCs w:val="false"/>
                <w:i w:val="false"/>
                <w:iCs w:val="false"/>
                <w:color w:val="1A1A1A"/>
                <w:sz w:val="19"/>
                <w:szCs w:val="19"/>
              </w:rPr>
              <w:t xml:space="preserve"> y </w:t>
            </w:r>
            <w:r>
              <w:rPr>
                <w:rFonts w:ascii="Liberation Serif" w:cs="Liberation Serif" w:eastAsia="Liberation Serif" w:hAnsi="Liberation Serif"/>
                <w:b/>
                <w:bCs/>
                <w:i w:val="false"/>
                <w:iCs w:val="false"/>
                <w:color w:val="1A1A1A"/>
                <w:sz w:val="19"/>
                <w:szCs w:val="19"/>
              </w:rPr>
              <w:t xml:space="preserve">Anthropic (Claude)</w:t>
            </w:r>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Plataformas de Terceros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r>
              <w:rPr>
                <w:rFonts w:ascii="Liberation Serif" w:cs="Liberation Serif" w:eastAsia="Liberation Serif" w:hAnsi="Liberation Serif"/>
                <w:b/>
                <w:bCs/>
                <w:i w:val="false"/>
                <w:iCs w:val="false"/>
                <w:color w:val="1A1A1A"/>
                <w:sz w:val="19"/>
                <w:szCs w:val="19"/>
              </w:rPr>
              <w:t xml:space="preserve">WhatsApp Business API</w:t>
            </w:r>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Desarrollo Mayor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Persona Encargada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10 del Proyecto 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Periodo de Estabilización</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 Lanzamiento en Firme, que concluye por el solo transcurso de ese plazo, sin necesidad de declaración de las Partes, durante el cual EL PRESTADOR corrige sin costo adicional los defectos respecto de las especificaciones del Anexo Dos y los ajustes derivados del tráfico y uso real del sitio. No comprende cambios de alcance ni nuevas funcionalidades, que se tramitan conforme a la Cláusula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Tiempo de Espera (stand-by)</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la falta o demora de EL CLIENTE en la entrega de las aportaciones, accesos, credenciales, infraestructura o insumos a su cargo conforme al </w:t>
            </w:r>
            <w:r>
              <w:rPr>
                <w:rFonts w:ascii="Liberation Serif" w:cs="Liberation Serif" w:eastAsia="Liberation Serif" w:hAnsi="Liberation Serif"/>
                <w:b/>
                <w:bCs/>
                <w:i w:val="false"/>
                <w:iCs w:val="false"/>
                <w:color w:val="1A1A1A"/>
                <w:sz w:val="19"/>
                <w:szCs w:val="19"/>
              </w:rPr>
              <w:t xml:space="preserve">Anexo Uno</w:t>
            </w:r>
            <w:r>
              <w:rPr>
                <w:rFonts w:ascii="Liberation Serif" w:cs="Liberation Serif" w:eastAsia="Liberation Serif" w:hAnsi="Liberation Serif"/>
                <w:b w:val="false"/>
                <w:bCs w:val="false"/>
                <w:i w:val="false"/>
                <w:iCs w:val="false"/>
                <w:color w:val="1A1A1A"/>
                <w:sz w:val="19"/>
                <w:szCs w:val="19"/>
              </w:rPr>
              <w:t xml:space="preserve">. Es el </w:t>
            </w:r>
            <w:r>
              <w:rPr>
                <w:rFonts w:ascii="Liberation Serif" w:cs="Liberation Serif" w:eastAsia="Liberation Serif" w:hAnsi="Liberation Serif"/>
                <w:b/>
                <w:bCs/>
                <w:i w:val="false"/>
                <w:iCs w:val="false"/>
                <w:color w:val="1A1A1A"/>
                <w:sz w:val="19"/>
                <w:szCs w:val="19"/>
              </w:rPr>
              <w:t xml:space="preserve">único</w:t>
            </w:r>
            <w:r>
              <w:rPr>
                <w:rFonts w:ascii="Liberation Serif" w:cs="Liberation Serif" w:eastAsia="Liberation Serif" w:hAnsi="Liberation Serif"/>
                <w:b w:val="false"/>
                <w:bCs w:val="false"/>
                <w:i w:val="false"/>
                <w:iCs w:val="false"/>
                <w:color w:val="1A1A1A"/>
                <w:sz w:val="19"/>
                <w:szCs w:val="19"/>
              </w:rPr>
              <w:t xml:space="preserve"> supuesto que causa stand-by (Cláusula Décima Quinta, inciso 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r>
        <w:rPr>
          <w:rFonts w:ascii="Liberation Serif" w:cs="Liberation Serif" w:eastAsia="Liberation Serif" w:hAnsi="Liberation Serif"/>
          <w:b w:val="false"/>
          <w:bCs w:val="false"/>
          <w:i w:val="false"/>
          <w:iCs w:val="false"/>
          <w:color w:val="1A1A1A"/>
          <w:sz w:val="22"/>
          <w:szCs w:val="22"/>
        </w:rPr>
        <w:t xml:space="preserve"> que los active; dicho Addendum </w:t>
      </w:r>
      <w:r>
        <w:rPr>
          <w:rFonts w:ascii="Liberation Serif" w:cs="Liberation Serif" w:eastAsia="Liberation Serif" w:hAnsi="Liberation Serif"/>
          <w:b/>
          <w:bCs/>
          <w:i w:val="false"/>
          <w:iCs w:val="false"/>
          <w:color w:val="1A1A1A"/>
          <w:sz w:val="22"/>
          <w:szCs w:val="22"/>
        </w:rPr>
        <w:t xml:space="preserve">detalla</w:t>
      </w:r>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 Cualquier servicio o entregable no comprendido expresamente se entenderá excluido y será materia de cotización por separado mediante convenio modificatorio. Para las cantidades en dólares se conviene el tipo de cambio fijo de </w:t>
      </w:r>
      <w:r>
        <w:rPr>
          <w:rFonts w:ascii="Liberation Serif" w:cs="Liberation Serif" w:eastAsia="Liberation Serif" w:hAnsi="Liberation Serif"/>
          <w:b/>
          <w:bCs/>
          <w:i w:val="false"/>
          <w:iCs w:val="false"/>
          <w:color w:val="1A1A1A"/>
          <w:sz w:val="22"/>
          <w:szCs w:val="22"/>
        </w:rPr>
        <w:t xml:space="preserve">MXN $17.80 (diecisiete pesos 80/100 M.N.) por USD $1.00 (un dólar de los Estados Unidos de América)</w:t>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r>
        <w:rPr>
          <w:rFonts w:ascii="Liberation Serif" w:cs="Liberation Serif" w:eastAsia="Liberation Serif" w:hAnsi="Liberation Serif"/>
          <w:b/>
          <w:bCs/>
          <w:i w:val="false"/>
          <w:iCs w:val="false"/>
          <w:color w:val="1A1A1A"/>
          <w:sz w:val="22"/>
          <w:szCs w:val="22"/>
        </w:rPr>
        <w:t xml:space="preserve">10 (diez)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El cronograma comprende las revisiones de las etapas previas al Lanzamiento en Firme conforme al Anexo Dos, Sección I.4. La revisión final se contará desde la entrega correspondiente al Lanzamiento en Firme y podrá concluir después de la Semana 10, sin que ello modifique por sí mismo la fecha del lanzamiento ni el inicio del Periodo de Estabilización. </w:t>
      </w:r>
      <w:r>
        <w:rPr>
          <w:rFonts w:ascii="Liberation Serif" w:cs="Liberation Serif" w:eastAsia="Liberation Serif" w:hAnsi="Liberation Serif"/>
          <w:b/>
          <w:bCs/>
          <w:i w:val="false"/>
          <w:iCs w:val="false"/>
          <w:color w:val="1A1A1A"/>
          <w:sz w:val="22"/>
          <w:szCs w:val="22"/>
        </w:rPr>
        <w:t xml:space="preserve">Plazos de respuesta recíprocos.</w:t>
      </w:r>
      <w:r>
        <w:rPr>
          <w:rFonts w:ascii="Liberation Serif" w:cs="Liberation Serif" w:eastAsia="Liberation Serif" w:hAnsi="Liberation Serif"/>
          <w:b w:val="false"/>
          <w:bCs w:val="false"/>
          <w:i w:val="false"/>
          <w:iCs w:val="false"/>
          <w:color w:val="1A1A1A"/>
          <w:sz w:val="22"/>
          <w:szCs w:val="22"/>
        </w:rPr>
        <w:t xml:space="preserve"> EL PRESTADOR responderá a cada solicitud de aprobación o retroalimentación de EL CLIENTE dentro de un plazo máximo de 2 (dos) días hábiles, y su silencio no se interpretará en perjuicio de EL CLIENTE ni extenderá el plazo de entrega.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 son los KPIs verificables del Anexo Dos, Sección IV (incluida la cobertura de keywords unbranded), conforme al régimen de medición ahí previsto. Sin perjuicio de lo anterior, 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formulará dichas recomendaciones por escrito y de forma fundamentada en el reporte mensual del Anexo Cinco,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r>
        <w:rPr>
          <w:rFonts w:ascii="Liberation Serif" w:cs="Liberation Serif" w:eastAsia="Liberation Serif" w:hAnsi="Liberation Serif"/>
          <w:b/>
          <w:bCs/>
          <w:i w:val="false"/>
          <w:iCs w:val="false"/>
          <w:color w:val="1A1A1A"/>
          <w:sz w:val="22"/>
          <w:szCs w:val="22"/>
        </w:rPr>
        <w:t xml:space="preserve">atención inicial 24/7 de toda conversación entrante</w:t>
      </w:r>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(atiende “BES” → escalación a operador humano a petición expresa del usuario o por política de escalamiento aprobada por EL CLIENTE → devolución de llamada agendada fuera del horario de operadores);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medición del Canal de WhatsApp y del tiempo al primer contacto, integrada al </w:t>
      </w:r>
      <w:r>
        <w:rPr>
          <w:rFonts w:ascii="Liberation Serif" w:cs="Liberation Serif" w:eastAsia="Liberation Serif" w:hAnsi="Liberation Serif"/>
          <w:b/>
          <w:bCs/>
          <w:i w:val="false"/>
          <w:iCs w:val="false"/>
          <w:color w:val="1A1A1A"/>
          <w:sz w:val="22"/>
          <w:szCs w:val="22"/>
        </w:rPr>
        <w:t xml:space="preserve">mismo funnel de resultados y dashboard del Proyecto A</w:t>
      </w:r>
      <w:r>
        <w:rPr>
          <w:rFonts w:ascii="Liberation Serif" w:cs="Liberation Serif" w:eastAsia="Liberation Serif" w:hAnsi="Liberation Serif"/>
          <w:b w:val="false"/>
          <w:bCs w:val="false"/>
          <w:i w:val="false"/>
          <w:iCs w:val="false"/>
          <w:color w:val="1A1A1A"/>
          <w:sz w:val="22"/>
          <w:szCs w:val="22"/>
        </w:rPr>
        <w:t xml:space="preserve"> —el BDS no constituye un funnel independiente—.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r>
        <w:rPr>
          <w:rFonts w:ascii="Liberation Serif" w:cs="Liberation Serif" w:eastAsia="Liberation Serif" w:hAnsi="Liberation Serif"/>
          <w:b/>
          <w:bCs/>
          <w:i w:val="false"/>
          <w:iCs w:val="false"/>
          <w:color w:val="1A1A1A"/>
          <w:sz w:val="22"/>
          <w:szCs w:val="22"/>
        </w:rPr>
        <w:t xml:space="preserve">se ejecuta en paralelo al Proyecto A cuando se activa simultáneamente</w:t>
      </w:r>
      <w:r>
        <w:rPr>
          <w:rFonts w:ascii="Liberation Serif" w:cs="Liberation Serif" w:eastAsia="Liberation Serif" w:hAnsi="Liberation Serif"/>
          <w:b w:val="false"/>
          <w:bCs w:val="false"/>
          <w:i w:val="false"/>
          <w:iCs w:val="false"/>
          <w:color w:val="1A1A1A"/>
          <w:sz w:val="22"/>
          <w:szCs w:val="22"/>
        </w:rPr>
        <w:t xml:space="preserve">; si se activa después, su plazo se contará conforme a esta Cláusula y al Addendum respectivo, sin modificar el cronograma del Proyecto A,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 e incluye, de manera enunciativa, la actualización de plantillas de mensajería ante cambios de política de la plataforma, la corrección de fallas de integración y los ajustes menores de enrutamiento y escalación. El desarrollo de nuevas funcionalidades no contempladas en el Addendum del BDS constituye un Desarrollo Mayor y se tramita conforme a la Cláusula Décima.</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que EL CLIENTE validará por escrito dentro de los 6 (seis) días hábiles siguientes a su presentación —la misma ventana de revisión de la Cláusula Décima—; transcurrido ese plazo sin manifestación expresa por escrito, </w:t>
      </w:r>
      <w:r>
        <w:rPr>
          <w:rFonts w:ascii="Liberation Serif" w:cs="Liberation Serif" w:eastAsia="Liberation Serif" w:hAnsi="Liberation Serif"/>
          <w:b/>
          <w:bCs/>
          <w:i w:val="false"/>
          <w:iCs w:val="false"/>
          <w:color w:val="1A1A1A"/>
          <w:sz w:val="22"/>
          <w:szCs w:val="22"/>
        </w:rPr>
        <w:t xml:space="preserve">el mapeo se entenderá aprobado</w:t>
      </w:r>
      <w:r>
        <w:rPr>
          <w:rFonts w:ascii="Liberation Serif" w:cs="Liberation Serif" w:eastAsia="Liberation Serif" w:hAnsi="Liberation Serif"/>
          <w:b w:val="false"/>
          <w:bCs w:val="false"/>
          <w:i w:val="false"/>
          <w:iCs w:val="false"/>
          <w:color w:val="1A1A1A"/>
          <w:sz w:val="22"/>
          <w:szCs w:val="22"/>
        </w:rPr>
        <w:t xml:space="preserve"> conforme a la aceptación tácita de la Cláusula Décima, para todos los efectos de este Contrato, sin perjuicio del derecho de EL CLIENTE a solicitar ajustes posteriores conforme al régimen de control de cambios de la Cláusula Décima;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C. </w:t>
      </w:r>
      <w:r>
        <w:rPr>
          <w:rFonts w:ascii="Liberation Serif" w:cs="Liberation Serif" w:eastAsia="Liberation Serif" w:hAnsi="Liberation Serif"/>
          <w:b/>
          <w:bCs/>
          <w:i w:val="false"/>
          <w:iCs w:val="false"/>
          <w:color w:val="1A1A1A"/>
          <w:sz w:val="22"/>
          <w:szCs w:val="22"/>
        </w:rPr>
        <w:t xml:space="preserve">Mantenimiento (opcional):</w:t>
      </w:r>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La bolsa corresponde exclusivamente a mejoras; no limita ni sustituye las obligaciones de mantenimiento, soporte o garantía expresamente comprendidas en el Contrato. A su vez, estas obligaciones no amplían el alcance de los entregables ni incluyen nuevas funcionalidades, integraciones o cambios de alcance, que se tramitan conforme a la Cláusula Décima. </w:t>
      </w:r>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r>
        <w:rPr>
          <w:rFonts w:ascii="Liberation Serif" w:cs="Liberation Serif" w:eastAsia="Liberation Serif" w:hAnsi="Liberation Serif"/>
          <w:b/>
          <w:bCs/>
          <w:i w:val="false"/>
          <w:iCs w:val="false"/>
          <w:color w:val="1A1A1A"/>
          <w:sz w:val="22"/>
          <w:szCs w:val="22"/>
        </w:rPr>
        <w:t xml:space="preserve">Plazo mínimo inicial, terminación y renovación.</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darla por terminada en cualquier momento, sin penalidad ni responsabilidad alguna, mediante aviso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 a falta de aviso,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terminable por cualquiera de las Partes con el mismo aviso de 30 (treinta) días naturales.</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r>
        <w:rPr>
          <w:rFonts w:ascii="Liberation Serif" w:cs="Liberation Serif" w:eastAsia="Liberation Serif" w:hAnsi="Liberation Serif"/>
          <w:b/>
          <w:bCs/>
          <w:i w:val="false"/>
          <w:iCs w:val="false"/>
          <w:color w:val="1A1A1A"/>
          <w:sz w:val="22"/>
          <w:szCs w:val="22"/>
        </w:rPr>
        <w:t xml:space="preserve">II. Penas por incumplimiento de los niveles de servicio.</w:t>
      </w:r>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así como la falta de entrega oportuna del reporte mensual en el supuesto previsto en su apartado VI, causarán exclusivamente las penas convencionales establecidas en dicho apartado, que se acreditarán contra la siguiente factura de la iguala. Las penas de un mismo mes no excederán, en conjunto, del 10 % (diez por ciento) de la iguala del Proyecto A de ese mes; constituyen el remedio económico único de EL CLIENTE por el mismo incumplimiento de los niveles de servicio, sin perjuicio de la subsanación y, cuando proceda, la rescisión conforme a la Cláusula Décima Quinta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III. Calendario y estimación ilustrativos.</w:t>
      </w:r>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 y las revisiones se sujetan al Anexo Dos, Sección I.4, y a la Cláusula Vigésima Cuarta; la revisión final podrá concluir después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87"/>
        <w:gridCol w:w="3694"/>
        <w:gridCol w:w="1477"/>
      </w:tblGrid>
      <w:tr>
        <w:trPr>
          <w:cantSplit/>
          <w:tblHeader/>
        </w:trPr>
        <w:tc>
          <w:tcPr>
            <w:tcW w:type="dxa" w:w="418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369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Regla</w:t>
            </w:r>
          </w:p>
        </w:tc>
        <w:tc>
          <w:tcPr>
            <w:tcW w:type="dxa" w:w="147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Fecha</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los trabajos (Semana 1)</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 de septiembre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 · diseño y página pilar</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3</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 de octubre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5; Novena I</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24 de octubre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6 días hábiles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 · pre-lanzamiento</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Semana 9</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10</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y Novena I: 6 días hábiles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 de diciembre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Término del Proyecto C (10 semanas)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Quinta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Primera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 de enero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la iguala del Proyecto A</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II.4: primer día del mes siguiente</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febrero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Primera factura de la iguala</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II.2: al cierre del mes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febrero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Sexta I</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 de julio de 2027</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Las dos fechas de aceptación tácita de esta tabla son ilustrativas</w:t>
      </w:r>
      <w:r>
        <w:rPr>
          <w:rFonts w:ascii="Liberation Serif" w:cs="Liberation Serif" w:eastAsia="Liberation Serif" w:hAnsi="Liberation Serif"/>
          <w:b w:val="false"/>
          <w:bCs w:val="false"/>
          <w:i w:val="false"/>
          <w:iCs w:val="false"/>
          <w:color w:val="1A1A1A"/>
          <w:sz w:val="22"/>
          <w:szCs w:val="22"/>
        </w:rPr>
        <w:t xml:space="preserve">: se calculan suponiendo que cada entrega se recibe el mismo día del hito y se determinan, en cada caso, por los 6 (seis) días hábiles siguientes a la recepción acreditada, conforme a las Cláusulas Décima y Vigésima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6 (seis) semanas, éste concluye el 9 de enero de 2027 y la iguala se causa a partir del 1 de febrero de 2027, con once mensualidades en 2027; su plazo mínimo de 6 (seis) meses vence el 31 de julio de 2027 y, a falta de aviso con 30 (treinta) días naturales de anticipación, se renueva del 1 de agosto de 2027 al 31 de julio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199"/>
        <w:gridCol w:w="2903"/>
        <w:gridCol w:w="1257"/>
      </w:tblGrid>
      <w:tr>
        <w:trPr>
          <w:cantSplit/>
          <w:tblHeader/>
        </w:trPr>
        <w:tc>
          <w:tcPr>
            <w:tcW w:type="dxa" w:w="519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90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2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Pagos Únicos (A + B + C)</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del Proyecto 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 se causa: inicia el 1 de febrero de 2027</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(sin la iguala opcional de la Academia)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(con la iguala opcional de la Academia)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$134,642.14 (MXN $2,396,630.00)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$2,780,090.80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del Proyecto A, febrero a diciembre (11 meses)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$26,573.03 (MXN $473,000.00)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$548,680.00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opcional de la Academia, enero a diciembre (12 meses)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$12,471.96 (MXN $222,000.00)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$257,520.00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r>
        <w:rPr>
          <w:rFonts w:ascii="Liberation Serif" w:cs="Liberation Serif" w:eastAsia="Liberation Serif" w:hAnsi="Liberation Serif"/>
          <w:b/>
          <w:bCs/>
          <w:i w:val="false"/>
          <w:iCs w:val="false"/>
          <w:color w:val="1A1A1A"/>
          <w:sz w:val="22"/>
          <w:szCs w:val="22"/>
        </w:rPr>
        <w:t xml:space="preserve">ajuste máximo del 10% (diez por ciento)</w:t>
      </w:r>
      <w:r>
        <w:rPr>
          <w:rFonts w:ascii="Liberation Serif" w:cs="Liberation Serif" w:eastAsia="Liberation Serif" w:hAnsi="Liberation Serif"/>
          <w:b w:val="false"/>
          <w:bCs w:val="false"/>
          <w:i w:val="false"/>
          <w:iCs w:val="false"/>
          <w:color w:val="1A1A1A"/>
          <w:sz w:val="22"/>
          <w:szCs w:val="22"/>
        </w:rPr>
        <w:t xml:space="preserve"> sobre el precio pactado en esta Cláusula, siempre que el Addendum respectivo se suscriba dentro de los 90 (noventa) días naturales siguientes a la firma de este Contrato; transcurrido ese plazo, el precio del proyecto diferido se recotizará libremente. </w:t>
      </w:r>
      <w:r>
        <w:rPr>
          <w:rFonts w:ascii="Liberation Serif" w:cs="Liberation Serif" w:eastAsia="Liberation Serif" w:hAnsi="Liberation Serif"/>
          <w:b/>
          <w:bCs/>
          <w:i w:val="false"/>
          <w:iCs w:val="false"/>
          <w:color w:val="1A1A1A"/>
          <w:sz w:val="22"/>
          <w:szCs w:val="22"/>
        </w:rPr>
        <w:t xml:space="preserve">A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Desglose por proyecto.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10 (diez) semanas ahí pactado, con la ejecución simultánea o diferida que corresponda conforme a la Cláusula Cuarta.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730"/>
        <w:gridCol w:w="3629"/>
      </w:tblGrid>
      <w:tr>
        <w:trPr>
          <w:cantSplit/>
          <w:tblHeader/>
        </w:trPr>
        <w:tc>
          <w:tcPr>
            <w:tcW w:type="dxa" w:w="573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362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“BES” sobre WhatsApp (solo texto) como atención inicial automática 24/7, conforme a la Cláusula Cuarta</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Medición del canal de WhatsApp y del tiempo al primer contacto, integrada al funnel del Proyecto A</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del primer día del mes calendario siguiente a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CFDI con el IVA desglosado, denominado en moneda nacional. La emisión y presentación de las facturas en los momentos previstos en esta Cláusula </w:t>
      </w:r>
      <w:r>
        <w:rPr>
          <w:rFonts w:ascii="Liberation Serif" w:cs="Liberation Serif" w:eastAsia="Liberation Serif" w:hAnsi="Liberation Serif"/>
          <w:b/>
          <w:bCs/>
          <w:i w:val="false"/>
          <w:iCs w:val="false"/>
          <w:color w:val="1A1A1A"/>
          <w:sz w:val="22"/>
          <w:szCs w:val="22"/>
        </w:rPr>
        <w:t xml:space="preserve">no anticipan la exigibilidad del pago ni constituyen un anticipo</w:t>
      </w:r>
      <w:r>
        <w:rPr>
          <w:rFonts w:ascii="Liberation Serif" w:cs="Liberation Serif" w:eastAsia="Liberation Serif" w:hAnsi="Liberation Serif"/>
          <w:b w:val="false"/>
          <w:bCs w:val="false"/>
          <w:i w:val="false"/>
          <w:iCs w:val="false"/>
          <w:color w:val="1A1A1A"/>
          <w:sz w:val="22"/>
          <w:szCs w:val="22"/>
        </w:rPr>
        <w:t xml:space="preserve">. La factura podrá presentarse antes de la aprobación o aceptación tácita del entregable correspondiente, y su pago será exigible únicamente cuando se cumpla dicha condición conforme a la Sección I. No habrá anticipos. </w:t>
      </w:r>
      <w:r>
        <w:rPr>
          <w:rFonts w:ascii="Liberation Serif" w:cs="Liberation Serif" w:eastAsia="Liberation Serif" w:hAnsi="Liberation Serif"/>
          <w:b/>
          <w:bCs/>
          <w:i w:val="false"/>
          <w:iCs w:val="false"/>
          <w:color w:val="1A1A1A"/>
          <w:sz w:val="22"/>
          <w:szCs w:val="22"/>
        </w:rPr>
        <w:t xml:space="preserve">Alta de proveedor.</w:t>
      </w:r>
      <w:r>
        <w:rPr>
          <w:rFonts w:ascii="Liberation Serif" w:cs="Liberation Serif" w:eastAsia="Liberation Serif" w:hAnsi="Liberation Serif"/>
          <w:b w:val="false"/>
          <w:bCs w:val="false"/>
          <w:i w:val="false"/>
          <w:iCs w:val="false"/>
          <w:color w:val="1A1A1A"/>
          <w:sz w:val="22"/>
          <w:szCs w:val="22"/>
        </w:rPr>
        <w:t xml:space="preserve"> Las Partes reconocen que </w:t>
      </w:r>
      <w:r>
        <w:rPr>
          <w:rFonts w:ascii="Liberation Serif" w:cs="Liberation Serif" w:eastAsia="Liberation Serif" w:hAnsi="Liberation Serif"/>
          <w:b/>
          <w:bCs/>
          <w:i w:val="false"/>
          <w:iCs w:val="false"/>
          <w:color w:val="1A1A1A"/>
          <w:sz w:val="22"/>
          <w:szCs w:val="22"/>
        </w:rPr>
        <w:t xml:space="preserve">EL PRESTADOR ya se encuentra dado de alta y vigente en el padrón de proveedores de EL CLIENTE</w:t>
      </w:r>
      <w:r>
        <w:rPr>
          <w:rFonts w:ascii="Liberation Serif" w:cs="Liberation Serif" w:eastAsia="Liberation Serif" w:hAnsi="Liberation Serif"/>
          <w:b w:val="false"/>
          <w:bCs w:val="false"/>
          <w:i w:val="false"/>
          <w:iCs w:val="false"/>
          <w:color w:val="1A1A1A"/>
          <w:sz w:val="22"/>
          <w:szCs w:val="22"/>
        </w:rPr>
        <w:t xml:space="preserve">, con su expediente completo, por lo que </w:t>
      </w:r>
      <w:r>
        <w:rPr>
          <w:rFonts w:ascii="Liberation Serif" w:cs="Liberation Serif" w:eastAsia="Liberation Serif" w:hAnsi="Liberation Serif"/>
          <w:b/>
          <w:bCs/>
          <w:i w:val="false"/>
          <w:iCs w:val="false"/>
          <w:color w:val="1A1A1A"/>
          <w:sz w:val="22"/>
          <w:szCs w:val="22"/>
        </w:rPr>
        <w:t xml:space="preserve">no queda requisito de alta, registro ni acreditación pendiente de cumplir para el pago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Requisitos fiscales y administrativos (lista limitativa).</w:t>
      </w:r>
      <w:r>
        <w:rPr>
          <w:rFonts w:ascii="Liberation Serif" w:cs="Liberation Serif" w:eastAsia="Liberation Serif" w:hAnsi="Liberation Serif"/>
          <w:b w:val="false"/>
          <w:bCs w:val="false"/>
          <w:i w:val="false"/>
          <w:iCs w:val="false"/>
          <w:color w:val="1A1A1A"/>
          <w:sz w:val="22"/>
          <w:szCs w:val="22"/>
        </w:rPr>
        <w:t xml:space="preserve"> Los «requisitos fiscales y administrativos» a que queda sujeta la exigibilidad de cada pago son, de manera </w:t>
      </w:r>
      <w:r>
        <w:rPr>
          <w:rFonts w:ascii="Liberation Serif" w:cs="Liberation Serif" w:eastAsia="Liberation Serif" w:hAnsi="Liberation Serif"/>
          <w:b/>
          <w:bCs/>
          <w:i w:val="false"/>
          <w:iCs w:val="false"/>
          <w:color w:val="1A1A1A"/>
          <w:sz w:val="22"/>
          <w:szCs w:val="22"/>
        </w:rPr>
        <w:t xml:space="preserve">limitativa</w:t>
      </w:r>
      <w:r>
        <w:rPr>
          <w:rFonts w:ascii="Liberation Serif" w:cs="Liberation Serif" w:eastAsia="Liberation Serif" w:hAnsi="Liberation Serif"/>
          <w:b w:val="false"/>
          <w:bCs w:val="false"/>
          <w:i w:val="false"/>
          <w:iCs w:val="false"/>
          <w:color w:val="1A1A1A"/>
          <w:sz w:val="22"/>
          <w:szCs w:val="22"/>
        </w:rPr>
        <w:t xml:space="preserve">, los siguientes, y su cumplimiento agota toda formalidad exigible a EL PRESTADOR: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CFDI vigente</w:t>
      </w:r>
      <w:r>
        <w:rPr>
          <w:rFonts w:ascii="Liberation Serif" w:cs="Liberation Serif" w:eastAsia="Liberation Serif" w:hAnsi="Liberation Serif"/>
          <w:b w:val="false"/>
          <w:bCs w:val="false"/>
          <w:i w:val="false"/>
          <w:iCs w:val="false"/>
          <w:color w:val="1A1A1A"/>
          <w:sz w:val="22"/>
          <w:szCs w:val="22"/>
        </w:rPr>
        <w:t xml:space="preserve">, emitido y timbrado ante el Servicio de Administración Tributaria en la versión y con los complementos que exija la legislación fiscal aplicable en la fecha de emisión.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Datos fiscales correctos de ambas Partes</w:t>
      </w:r>
      <w:r>
        <w:rPr>
          <w:rFonts w:ascii="Liberation Serif" w:cs="Liberation Serif" w:eastAsia="Liberation Serif" w:hAnsi="Liberation Serif"/>
          <w:b w:val="false"/>
          <w:bCs w:val="false"/>
          <w:i w:val="false"/>
          <w:iCs w:val="false"/>
          <w:color w:val="1A1A1A"/>
          <w:sz w:val="22"/>
          <w:szCs w:val="22"/>
        </w:rPr>
        <w:t xml:space="preserve">: denominación social, Registro Federal de Contribuyentes, régimen fiscal y código postal del domicilio fiscal.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bCs/>
          <w:i w:val="false"/>
          <w:iCs w:val="false"/>
          <w:color w:val="1A1A1A"/>
          <w:sz w:val="22"/>
          <w:szCs w:val="22"/>
        </w:rPr>
        <w:t xml:space="preserve">Uso del CFDI, forma y método de pago</w:t>
      </w:r>
      <w:r>
        <w:rPr>
          <w:rFonts w:ascii="Liberation Serif" w:cs="Liberation Serif" w:eastAsia="Liberation Serif" w:hAnsi="Liberation Serif"/>
          <w:b w:val="false"/>
          <w:bCs w:val="false"/>
          <w:i w:val="false"/>
          <w:iCs w:val="false"/>
          <w:color w:val="1A1A1A"/>
          <w:sz w:val="22"/>
          <w:szCs w:val="22"/>
        </w:rPr>
        <w:t xml:space="preserve"> conforme a los catálogos del Servicio de Administración Tributaria, según la instrucción que EL CLIENTE comunique por escrito una sola vez al inicio de la relación y que se entiende vigente hasta que la modifique por el mismo medio.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bCs/>
          <w:i w:val="false"/>
          <w:iCs w:val="false"/>
          <w:color w:val="1A1A1A"/>
          <w:sz w:val="22"/>
          <w:szCs w:val="22"/>
        </w:rPr>
        <w:t xml:space="preserve">Clave de producto o servicio y clave de unidad</w:t>
      </w:r>
      <w:r>
        <w:rPr>
          <w:rFonts w:ascii="Liberation Serif" w:cs="Liberation Serif" w:eastAsia="Liberation Serif" w:hAnsi="Liberation Serif"/>
          <w:b w:val="false"/>
          <w:bCs w:val="false"/>
          <w:i w:val="false"/>
          <w:iCs w:val="false"/>
          <w:color w:val="1A1A1A"/>
          <w:sz w:val="22"/>
          <w:szCs w:val="22"/>
        </w:rPr>
        <w:t xml:space="preserve"> de los catálogos del Servicio de Administración Tributaria.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5. </w:t>
      </w:r>
      <w:r>
        <w:rPr>
          <w:rFonts w:ascii="Liberation Serif" w:cs="Liberation Serif" w:eastAsia="Liberation Serif" w:hAnsi="Liberation Serif"/>
          <w:b/>
          <w:bCs/>
          <w:i w:val="false"/>
          <w:iCs w:val="false"/>
          <w:color w:val="1A1A1A"/>
          <w:sz w:val="22"/>
          <w:szCs w:val="22"/>
        </w:rPr>
        <w:t xml:space="preserve">Descripción del concepto</w:t>
      </w:r>
      <w:r>
        <w:rPr>
          <w:rFonts w:ascii="Liberation Serif" w:cs="Liberation Serif" w:eastAsia="Liberation Serif" w:hAnsi="Liberation Serif"/>
          <w:b w:val="false"/>
          <w:bCs w:val="false"/>
          <w:i w:val="false"/>
          <w:iCs w:val="false"/>
          <w:color w:val="1A1A1A"/>
          <w:sz w:val="22"/>
          <w:szCs w:val="22"/>
        </w:rPr>
        <w:t xml:space="preserve"> que permita identificar el Servicio, la exhibición o el mes de servicio de que se trate, con el </w:t>
      </w:r>
      <w:r>
        <w:rPr>
          <w:rFonts w:ascii="Liberation Serif" w:cs="Liberation Serif" w:eastAsia="Liberation Serif" w:hAnsi="Liberation Serif"/>
          <w:b/>
          <w:bCs/>
          <w:i w:val="false"/>
          <w:iCs w:val="false"/>
          <w:color w:val="1A1A1A"/>
          <w:sz w:val="22"/>
          <w:szCs w:val="22"/>
        </w:rPr>
        <w:t xml:space="preserve">IVA desglosado</w:t>
      </w:r>
      <w:r>
        <w:rPr>
          <w:rFonts w:ascii="Liberation Serif" w:cs="Liberation Serif" w:eastAsia="Liberation Serif" w:hAnsi="Liberation Serif"/>
          <w:b w:val="false"/>
          <w:bCs w:val="false"/>
          <w:i w:val="false"/>
          <w:iCs w:val="false"/>
          <w:color w:val="1A1A1A"/>
          <w:sz w:val="22"/>
          <w:szCs w:val="22"/>
        </w:rPr>
        <w:t xml:space="preserve"> a la tasa legal vigente y el total en </w:t>
      </w:r>
      <w:r>
        <w:rPr>
          <w:rFonts w:ascii="Liberation Serif" w:cs="Liberation Serif" w:eastAsia="Liberation Serif" w:hAnsi="Liberation Serif"/>
          <w:b/>
          <w:bCs/>
          <w:i w:val="false"/>
          <w:iCs w:val="false"/>
          <w:color w:val="1A1A1A"/>
          <w:sz w:val="22"/>
          <w:szCs w:val="22"/>
        </w:rPr>
        <w:t xml:space="preserve">moneda nacional</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6. </w:t>
      </w:r>
      <w:r>
        <w:rPr>
          <w:rFonts w:ascii="Liberation Serif" w:cs="Liberation Serif" w:eastAsia="Liberation Serif" w:hAnsi="Liberation Serif"/>
          <w:b/>
          <w:bCs/>
          <w:i w:val="false"/>
          <w:iCs w:val="false"/>
          <w:color w:val="1A1A1A"/>
          <w:sz w:val="22"/>
          <w:szCs w:val="22"/>
        </w:rPr>
        <w:t xml:space="preserve">Referencia al número o identificación de este Contrato</w:t>
      </w:r>
      <w:r>
        <w:rPr>
          <w:rFonts w:ascii="Liberation Serif" w:cs="Liberation Serif" w:eastAsia="Liberation Serif" w:hAnsi="Liberation Serif"/>
          <w:b w:val="false"/>
          <w:bCs w:val="false"/>
          <w:i w:val="false"/>
          <w:iCs w:val="false"/>
          <w:color w:val="1A1A1A"/>
          <w:sz w:val="22"/>
          <w:szCs w:val="22"/>
        </w:rPr>
        <w:t xml:space="preserve"> y, tratándose de los Pagos Únicos, a la exhibición correspondiente.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7. </w:t>
      </w:r>
      <w:r>
        <w:rPr>
          <w:rFonts w:ascii="Liberation Serif" w:cs="Liberation Serif" w:eastAsia="Liberation Serif" w:hAnsi="Liberation Serif"/>
          <w:b/>
          <w:bCs/>
          <w:i w:val="false"/>
          <w:iCs w:val="false"/>
          <w:color w:val="1A1A1A"/>
          <w:sz w:val="22"/>
          <w:szCs w:val="22"/>
        </w:rPr>
        <w:t xml:space="preserve">Presentación</w:t>
      </w:r>
      <w:r>
        <w:rPr>
          <w:rFonts w:ascii="Liberation Serif" w:cs="Liberation Serif" w:eastAsia="Liberation Serif" w:hAnsi="Liberation Serif"/>
          <w:b w:val="false"/>
          <w:bCs w:val="false"/>
          <w:i w:val="false"/>
          <w:iCs w:val="false"/>
          <w:color w:val="1A1A1A"/>
          <w:sz w:val="22"/>
          <w:szCs w:val="22"/>
        </w:rPr>
        <w:t xml:space="preserve"> de la factura —archivos XML y PDF— en el correo electrónico o portal que EL CLIENTE designe por escrito; a falta de designación, en el correo del proyecto de la Cláusula Vigésima Cuarta. Se tiene por presentada el día hábil de su envío.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8. </w:t>
      </w:r>
      <w:r>
        <w:rPr>
          <w:rFonts w:ascii="Liberation Serif" w:cs="Liberation Serif" w:eastAsia="Liberation Serif" w:hAnsi="Liberation Serif"/>
          <w:b/>
          <w:bCs/>
          <w:i w:val="false"/>
          <w:iCs w:val="false"/>
          <w:color w:val="1A1A1A"/>
          <w:sz w:val="22"/>
          <w:szCs w:val="22"/>
        </w:rPr>
        <w:t xml:space="preserve">Opinión del cumplimiento de obligaciones fiscales en sentido positivo</w:t>
      </w:r>
      <w:r>
        <w:rPr>
          <w:rFonts w:ascii="Liberation Serif" w:cs="Liberation Serif" w:eastAsia="Liberation Serif" w:hAnsi="Liberation Serif"/>
          <w:b w:val="false"/>
          <w:bCs w:val="false"/>
          <w:i w:val="false"/>
          <w:iCs w:val="false"/>
          <w:color w:val="1A1A1A"/>
          <w:sz w:val="22"/>
          <w:szCs w:val="22"/>
        </w:rPr>
        <w:t xml:space="preserve">, con vigencia no mayor a 30 (treinta) días naturales, cuando EL CLIENTE la solicite por escrito.</w:t>
      </w:r>
    </w:p>
    <w:p>
      <w:pPr>
        <w:spacing w:after="140" w:line="264"/>
        <w:jc w:val="both"/>
      </w:pPr>
      <w:r>
        <w:rPr>
          <w:rFonts w:ascii="Liberation Serif" w:cs="Liberation Serif" w:eastAsia="Liberation Serif" w:hAnsi="Liberation Serif"/>
          <w:b/>
          <w:bCs/>
          <w:i w:val="false"/>
          <w:iCs w:val="false"/>
          <w:color w:val="1A1A1A"/>
          <w:sz w:val="22"/>
          <w:szCs w:val="22"/>
        </w:rPr>
        <w:t xml:space="preserve">Ningún otro requisito es exigible.</w:t>
      </w:r>
      <w:r>
        <w:rPr>
          <w:rFonts w:ascii="Liberation Serif" w:cs="Liberation Serif" w:eastAsia="Liberation Serif" w:hAnsi="Liberation Serif"/>
          <w:b w:val="false"/>
          <w:bCs w:val="false"/>
          <w:i w:val="false"/>
          <w:iCs w:val="false"/>
          <w:color w:val="1A1A1A"/>
          <w:sz w:val="22"/>
          <w:szCs w:val="22"/>
        </w:rPr>
        <w:t xml:space="preserve"> Ninguna política interna, formato, portal, orden de compra, validación, autorización o requisito administrativo distinto de los ocho anteriores condiciona la exigibilidad del pago ni modifica los plazos de esta Cláusula. Cualquier requisito administrativo adicional deberá acordarse por escrito por ambas Partes conforme a la Cláusula Vigésima Tercera, inciso d), y </w:t>
      </w:r>
      <w:r>
        <w:rPr>
          <w:rFonts w:ascii="Liberation Serif" w:cs="Liberation Serif" w:eastAsia="Liberation Serif" w:hAnsi="Liberation Serif"/>
          <w:b/>
          <w:bCs/>
          <w:i w:val="false"/>
          <w:iCs w:val="false"/>
          <w:color w:val="1A1A1A"/>
          <w:sz w:val="22"/>
          <w:szCs w:val="22"/>
        </w:rPr>
        <w:t xml:space="preserve">sólo será aplicable a las facturas emitidas después de transcurridos al menos 30 (treinta) días naturales desde dicho acuerdo</w:t>
      </w:r>
      <w:r>
        <w:rPr>
          <w:rFonts w:ascii="Liberation Serif" w:cs="Liberation Serif" w:eastAsia="Liberation Serif" w:hAnsi="Liberation Serif"/>
          <w:b w:val="false"/>
          <w:bCs w:val="false"/>
          <w:i w:val="false"/>
          <w:iCs w:val="false"/>
          <w:color w:val="1A1A1A"/>
          <w:sz w:val="22"/>
          <w:szCs w:val="22"/>
        </w:rPr>
        <w:t xml:space="preserve">. Su propuesta o falta de acuerdo no suspenderán ni diferirán la exigibilidad o el pago de las facturas. Lo anterior no exime del cumplimiento de los requisitos que resulten obligatorios por disposición legal aplicable.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5 conforme al Anexo Dos), </w:t>
      </w:r>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tácita</w:t>
      </w:r>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 o se actualice respecto de ella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Tratándose de los Proyectos B y C, el Addendum respectivo identificará cuáles de los entregables ya pactados en las Cláusulas Cuarta o Quinta integran el primer 50% (cincuenta por ciento) y cuáles integran el restante. Su valuación se ajustará al desglose de la Cláusula Octava, Sección VI, sin modificar el Pago Único ni el esquema de dos exhibiciones iguales. Las aprobaciones se sujetarán a la Cláusula Décima.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Plazo de pago e interés moratorio.</w:t>
      </w:r>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r>
        <w:rPr>
          <w:rFonts w:ascii="Liberation Serif" w:cs="Liberation Serif" w:eastAsia="Liberation Serif" w:hAnsi="Liberation Serif"/>
          <w:b/>
          <w:bCs/>
          <w:i w:val="false"/>
          <w:iCs w:val="false"/>
          <w:color w:val="1A1A1A"/>
          <w:sz w:val="22"/>
          <w:szCs w:val="22"/>
        </w:rPr>
        <w:t xml:space="preserve">15 (quince) días naturales</w:t>
      </w:r>
      <w:r>
        <w:rPr>
          <w:rFonts w:ascii="Liberation Serif" w:cs="Liberation Serif" w:eastAsia="Liberation Serif" w:hAnsi="Liberation Serif"/>
          <w:b w:val="false"/>
          <w:bCs w:val="false"/>
          <w:i w:val="false"/>
          <w:iCs w:val="false"/>
          <w:color w:val="1A1A1A"/>
          <w:sz w:val="22"/>
          <w:szCs w:val="22"/>
        </w:rPr>
        <w:t xml:space="preserve"> siguientes a la fecha en que sea exigible. Los pagos vencidos y no controvertidos causarán un </w:t>
      </w:r>
      <w:r>
        <w:rPr>
          <w:rFonts w:ascii="Liberation Serif" w:cs="Liberation Serif" w:eastAsia="Liberation Serif" w:hAnsi="Liberation Serif"/>
          <w:b/>
          <w:bCs/>
          <w:i w:val="false"/>
          <w:iCs w:val="false"/>
          <w:color w:val="1A1A1A"/>
          <w:sz w:val="22"/>
          <w:szCs w:val="22"/>
        </w:rPr>
        <w:t xml:space="preserve">interés moratorio del 1.5% (uno punto cinco por ciento) mensual</w:t>
      </w:r>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r>
        <w:rPr>
          <w:rFonts w:ascii="Liberation Serif" w:cs="Liberation Serif" w:eastAsia="Liberation Serif" w:hAnsi="Liberation Serif"/>
          <w:b/>
          <w:bCs/>
          <w:i w:val="false"/>
          <w:iCs w:val="false"/>
          <w:color w:val="1A1A1A"/>
          <w:sz w:val="22"/>
          <w:szCs w:val="22"/>
        </w:rPr>
        <w:t xml:space="preserve">Objeción o rechazo de facturas.</w:t>
      </w:r>
      <w:r>
        <w:rPr>
          <w:rFonts w:ascii="Liberation Serif" w:cs="Liberation Serif" w:eastAsia="Liberation Serif" w:hAnsi="Liberation Serif"/>
          <w:b w:val="false"/>
          <w:bCs w:val="false"/>
          <w:i w:val="false"/>
          <w:iCs w:val="false"/>
          <w:color w:val="1A1A1A"/>
          <w:sz w:val="22"/>
          <w:szCs w:val="22"/>
        </w:rPr>
        <w:t xml:space="preserve"> EL CLIENTE podrá objetar o rechazar una factura </w:t>
      </w:r>
      <w:r>
        <w:rPr>
          <w:rFonts w:ascii="Liberation Serif" w:cs="Liberation Serif" w:eastAsia="Liberation Serif" w:hAnsi="Liberation Serif"/>
          <w:b/>
          <w:bCs/>
          <w:i w:val="false"/>
          <w:iCs w:val="false"/>
          <w:color w:val="1A1A1A"/>
          <w:sz w:val="22"/>
          <w:szCs w:val="22"/>
        </w:rPr>
        <w:t xml:space="preserve">únicamente por escrito, de forma motivada y dentro de los 3 (tres) días hábiles siguientes a su presentación</w:t>
      </w:r>
      <w:r>
        <w:rPr>
          <w:rFonts w:ascii="Liberation Serif" w:cs="Liberation Serif" w:eastAsia="Liberation Serif" w:hAnsi="Liberation Serif"/>
          <w:b w:val="false"/>
          <w:bCs w:val="false"/>
          <w:i w:val="false"/>
          <w:iCs w:val="false"/>
          <w:color w:val="1A1A1A"/>
          <w:sz w:val="22"/>
          <w:szCs w:val="22"/>
        </w:rPr>
        <w:t xml:space="preserve">, y sólo por alguna de estas causas, que se enuncian de manera </w:t>
      </w:r>
      <w:r>
        <w:rPr>
          <w:rFonts w:ascii="Liberation Serif" w:cs="Liberation Serif" w:eastAsia="Liberation Serif" w:hAnsi="Liberation Serif"/>
          <w:b/>
          <w:bCs/>
          <w:i w:val="false"/>
          <w:iCs w:val="false"/>
          <w:color w:val="1A1A1A"/>
          <w:sz w:val="22"/>
          <w:szCs w:val="22"/>
        </w:rPr>
        <w:t xml:space="preserve">limitativa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que el CFDI carezca de validez fiscal o no esté timbrado;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que contenga datos fiscales erróneos de cualquiera de las Partes;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que el importe no corresponda a lo pactado en la Cláusula Octava; 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que el concepto facturado sea ajeno a los Servicios, a la exhibición o al mes de servicio que corresponda conforme a este Contrato. No constituye causa de objeción que una factura de Pago Único, presentada en el momento previsto en esta Cláusula, preceda a la aprobación o aceptación tácita que hará exigible su pago. </w:t>
      </w:r>
      <w:r>
        <w:rPr>
          <w:rFonts w:ascii="Liberation Serif" w:cs="Liberation Serif" w:eastAsia="Liberation Serif" w:hAnsi="Liberation Serif"/>
          <w:b/>
          <w:bCs/>
          <w:i w:val="false"/>
          <w:iCs w:val="false"/>
          <w:color w:val="1A1A1A"/>
          <w:sz w:val="22"/>
          <w:szCs w:val="22"/>
        </w:rPr>
        <w:t xml:space="preserve">Transcurridos esos 3 (tres) días hábiles sin objeción escrita y motivada, la factura se tendrá por aceptada en cuanto a los requisitos fiscales y administrativos y a su correspondencia con lo pactado.</w:t>
      </w:r>
      <w:r>
        <w:rPr>
          <w:rFonts w:ascii="Liberation Serif" w:cs="Liberation Serif" w:eastAsia="Liberation Serif" w:hAnsi="Liberation Serif"/>
          <w:b w:val="false"/>
          <w:bCs w:val="false"/>
          <w:i w:val="false"/>
          <w:iCs w:val="false"/>
          <w:color w:val="1A1A1A"/>
          <w:sz w:val="22"/>
          <w:szCs w:val="22"/>
        </w:rPr>
        <w:t xml:space="preserve"> El plazo de pago de cada exhibición comenzará cuando se actualice su exigibilidad conforme a la Sección I; la aceptación de la factura no sustituye la aprobación del entregable ni anticipa el vencimiento del pago. La objeción debe señalar el defecto concreto y, cuando sea subsanable, indicar cómo corregirlo; </w:t>
      </w:r>
      <w:r>
        <w:rPr>
          <w:rFonts w:ascii="Liberation Serif" w:cs="Liberation Serif" w:eastAsia="Liberation Serif" w:hAnsi="Liberation Serif"/>
          <w:b/>
          <w:bCs/>
          <w:i w:val="false"/>
          <w:iCs w:val="false"/>
          <w:color w:val="1A1A1A"/>
          <w:sz w:val="22"/>
          <w:szCs w:val="22"/>
        </w:rPr>
        <w:t xml:space="preserve">una objeción genérica, extemporánea o ajena a las cuatro causas anteriores no suspende ni interrumpe el plazo de pago</w:t>
      </w:r>
      <w:r>
        <w:rPr>
          <w:rFonts w:ascii="Liberation Serif" w:cs="Liberation Serif" w:eastAsia="Liberation Serif" w:hAnsi="Liberation Serif"/>
          <w:b w:val="false"/>
          <w:bCs w:val="false"/>
          <w:i w:val="false"/>
          <w:iCs w:val="false"/>
          <w:color w:val="1A1A1A"/>
          <w:sz w:val="22"/>
          <w:szCs w:val="22"/>
        </w:rPr>
        <w:t xml:space="preserve">. Objetada una factura en tiempo y forma, EL PRESTADOR la reexpedirá dentro de los 3 (tres) días hábiles siguientes. </w:t>
      </w:r>
      <w:r>
        <w:rPr>
          <w:rFonts w:ascii="Liberation Serif" w:cs="Liberation Serif" w:eastAsia="Liberation Serif" w:hAnsi="Liberation Serif"/>
          <w:b/>
          <w:bCs/>
          <w:i w:val="false"/>
          <w:iCs w:val="false"/>
          <w:color w:val="1A1A1A"/>
          <w:sz w:val="22"/>
          <w:szCs w:val="22"/>
        </w:rPr>
        <w:t xml:space="preserve">La reexpedición no modificará el vencimiento original</w:t>
      </w:r>
      <w:r>
        <w:rPr>
          <w:rFonts w:ascii="Liberation Serif" w:cs="Liberation Serif" w:eastAsia="Liberation Serif" w:hAnsi="Liberation Serif"/>
          <w:b w:val="false"/>
          <w:bCs w:val="false"/>
          <w:i w:val="false"/>
          <w:iCs w:val="false"/>
          <w:color w:val="1A1A1A"/>
          <w:sz w:val="22"/>
          <w:szCs w:val="22"/>
        </w:rPr>
        <w:t xml:space="preserve">, salvo que el defecto sea imputable a EL PRESTADOR; en ese caso, el plazo de pago se contará desde la reexpedición o desde la fecha en que se cumpla la condición de exigibilidad de la exhibición, lo que ocurra después. En ningún caso la reexpedición hará exigible una exhibición antes de que se cumpla la condición de aprobación o aceptación tácita que le corresponda. </w:t>
      </w:r>
      <w:r>
        <w:rPr>
          <w:rFonts w:ascii="Liberation Serif" w:cs="Liberation Serif" w:eastAsia="Liberation Serif" w:hAnsi="Liberation Serif"/>
          <w:b/>
          <w:bCs/>
          <w:i w:val="false"/>
          <w:iCs w:val="false"/>
          <w:color w:val="1A1A1A"/>
          <w:sz w:val="22"/>
          <w:szCs w:val="22"/>
        </w:rPr>
        <w:t xml:space="preserve">En todo caso EL CLIENTE pagará en su fecha la parte no objetada.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Cantidades razonablemente controvertidas.</w:t>
      </w:r>
      <w:r>
        <w:rPr>
          <w:rFonts w:ascii="Liberation Serif" w:cs="Liberation Serif" w:eastAsia="Liberation Serif" w:hAnsi="Liberation Serif"/>
          <w:b w:val="false"/>
          <w:bCs w:val="false"/>
          <w:i w:val="false"/>
          <w:iCs w:val="false"/>
          <w:color w:val="1A1A1A"/>
          <w:sz w:val="22"/>
          <w:szCs w:val="22"/>
        </w:rPr>
        <w:t xml:space="preserve"> Para todos los efectos de este Contrato, una cantidad se considera </w:t>
      </w:r>
      <w:r>
        <w:rPr>
          <w:rFonts w:ascii="Liberation Serif" w:cs="Liberation Serif" w:eastAsia="Liberation Serif" w:hAnsi="Liberation Serif"/>
          <w:b/>
          <w:bCs/>
          <w:i w:val="false"/>
          <w:iCs w:val="false"/>
          <w:color w:val="1A1A1A"/>
          <w:sz w:val="22"/>
          <w:szCs w:val="22"/>
        </w:rPr>
        <w:t xml:space="preserve">razonablemente controvertida únicamente</w:t>
      </w:r>
      <w:r>
        <w:rPr>
          <w:rFonts w:ascii="Liberation Serif" w:cs="Liberation Serif" w:eastAsia="Liberation Serif" w:hAnsi="Liberation Serif"/>
          <w:b w:val="false"/>
          <w:bCs w:val="false"/>
          <w:i w:val="false"/>
          <w:iCs w:val="false"/>
          <w:color w:val="1A1A1A"/>
          <w:sz w:val="22"/>
          <w:szCs w:val="22"/>
        </w:rPr>
        <w:t xml:space="preserve"> cuando EL CLIENTE la objeta por escrito, dentro de los 3 (tres) días hábiles señalados, por alguna de las cuatro causas limitativas anteriores, </w:t>
      </w:r>
      <w:r>
        <w:rPr>
          <w:rFonts w:ascii="Liberation Serif" w:cs="Liberation Serif" w:eastAsia="Liberation Serif" w:hAnsi="Liberation Serif"/>
          <w:b/>
          <w:bCs/>
          <w:i w:val="false"/>
          <w:iCs w:val="false"/>
          <w:color w:val="1A1A1A"/>
          <w:sz w:val="22"/>
          <w:szCs w:val="22"/>
        </w:rPr>
        <w:t xml:space="preserve">identificando el concepto y el importe preciso que controvierte y acompañando el soporte en que se funda</w:t>
      </w:r>
      <w:r>
        <w:rPr>
          <w:rFonts w:ascii="Liberation Serif" w:cs="Liberation Serif" w:eastAsia="Liberation Serif" w:hAnsi="Liberation Serif"/>
          <w:b w:val="false"/>
          <w:bCs w:val="false"/>
          <w:i w:val="false"/>
          <w:iCs w:val="false"/>
          <w:color w:val="1A1A1A"/>
          <w:sz w:val="22"/>
          <w:szCs w:val="22"/>
        </w:rPr>
        <w:t xml:space="preserve">. La objeción </w:t>
      </w:r>
      <w:r>
        <w:rPr>
          <w:rFonts w:ascii="Liberation Serif" w:cs="Liberation Serif" w:eastAsia="Liberation Serif" w:hAnsi="Liberation Serif"/>
          <w:b/>
          <w:bCs/>
          <w:i w:val="false"/>
          <w:iCs w:val="false"/>
          <w:color w:val="1A1A1A"/>
          <w:sz w:val="22"/>
          <w:szCs w:val="22"/>
        </w:rPr>
        <w:t xml:space="preserve">sólo alcanza al importe del concepto controvertido</w:t>
      </w:r>
      <w:r>
        <w:rPr>
          <w:rFonts w:ascii="Liberation Serif" w:cs="Liberation Serif" w:eastAsia="Liberation Serif" w:hAnsi="Liberation Serif"/>
          <w:b w:val="false"/>
          <w:bCs w:val="false"/>
          <w:i w:val="false"/>
          <w:iCs w:val="false"/>
          <w:color w:val="1A1A1A"/>
          <w:sz w:val="22"/>
          <w:szCs w:val="22"/>
        </w:rPr>
        <w:t xml:space="preserve">, nunca al total de la factura ni a otras facturas, y </w:t>
      </w:r>
      <w:r>
        <w:rPr>
          <w:rFonts w:ascii="Liberation Serif" w:cs="Liberation Serif" w:eastAsia="Liberation Serif" w:hAnsi="Liberation Serif"/>
          <w:b/>
          <w:bCs/>
          <w:i w:val="false"/>
          <w:iCs w:val="false"/>
          <w:color w:val="1A1A1A"/>
          <w:sz w:val="22"/>
          <w:szCs w:val="22"/>
        </w:rPr>
        <w:t xml:space="preserve">no puede fundarse en entregables ya aprobados o tenidos por aceptados conforme a la Cláusula Décima</w:t>
      </w:r>
      <w:r>
        <w:rPr>
          <w:rFonts w:ascii="Liberation Serif" w:cs="Liberation Serif" w:eastAsia="Liberation Serif" w:hAnsi="Liberation Serif"/>
          <w:b w:val="false"/>
          <w:bCs w:val="false"/>
          <w:i w:val="false"/>
          <w:iCs w:val="false"/>
          <w:color w:val="1A1A1A"/>
          <w:sz w:val="22"/>
          <w:szCs w:val="22"/>
        </w:rPr>
        <w:t xml:space="preserve">, en apreciaciones de calidad o desempeño —que se rigen por el Anexo Cinco y por la garantía de la Cláusula Décima Segunda, fracción VIII, sin afectar el pago—, ni en la falta de un trámite, formato o autorización interna de EL CLIENTE. Sólo esas cantidades, así controvertidas, no causan interés ni facultan la suspensión mientras las Partes las resuelven conforme a la Cláusula Décima Quinta, resolución que no excederá de 15 (quince) días naturales; </w:t>
      </w:r>
      <w:r>
        <w:rPr>
          <w:rFonts w:ascii="Liberation Serif" w:cs="Liberation Serif" w:eastAsia="Liberation Serif" w:hAnsi="Liberation Serif"/>
          <w:b/>
          <w:bCs/>
          <w:i w:val="false"/>
          <w:iCs w:val="false"/>
          <w:color w:val="1A1A1A"/>
          <w:sz w:val="22"/>
          <w:szCs w:val="22"/>
        </w:rPr>
        <w:t xml:space="preserve">toda cantidad que no reúna estos requisitos es un saldo vencido simple</w:t>
      </w:r>
      <w:r>
        <w:rPr>
          <w:rFonts w:ascii="Liberation Serif" w:cs="Liberation Serif" w:eastAsia="Liberation Serif" w:hAnsi="Liberation Serif"/>
          <w:b w:val="false"/>
          <w:bCs w:val="false"/>
          <w:i w:val="false"/>
          <w:iCs w:val="false"/>
          <w:color w:val="1A1A1A"/>
          <w:sz w:val="22"/>
          <w:szCs w:val="22"/>
        </w:rPr>
        <w:t xml:space="preserve"> y se rige por el párrafo siguiente. Si la controversia se resuelve a favor de EL PRESTADOR, el importe causa interés moratorio desde la fecha original de vencimiento. </w:t>
      </w:r>
      <w:r>
        <w:rPr>
          <w:rFonts w:ascii="Liberation Serif" w:cs="Liberation Serif" w:eastAsia="Liberation Serif" w:hAnsi="Liberation Serif"/>
          <w:b/>
          <w:bCs/>
          <w:i w:val="false"/>
          <w:iCs w:val="false"/>
          <w:color w:val="1A1A1A"/>
          <w:sz w:val="22"/>
          <w:szCs w:val="22"/>
        </w:rPr>
        <w:t xml:space="preserve">Cura y suspensión.</w:t>
      </w:r>
      <w:r>
        <w:rPr>
          <w:rFonts w:ascii="Liberation Serif" w:cs="Liberation Serif" w:eastAsia="Liberation Serif" w:hAnsi="Liberation Serif"/>
          <w:b w:val="false"/>
          <w:bCs w:val="false"/>
          <w:i w:val="false"/>
          <w:iCs w:val="false"/>
          <w:color w:val="1A1A1A"/>
          <w:sz w:val="22"/>
          <w:szCs w:val="22"/>
        </w:rPr>
        <w:t xml:space="preserve"> Tratándose de saldos vencidos, no controvertidos y no pagados, EL PRESTADOR notificará por escrito el incumplimiento a EL CLIENTE, identificando las facturas e importes, y otorgará un periodo de cura de 10 (diez) días hábiles; el pago dentro de ese periodo subsana el incumplimiento para todos los efectos. Vencido el periodo de cura sin pago, EL PRESTADOR podrá suspender las entregas pendientes, la bolsa de horas de mejora y la atención de nuevas solicitudes de aprobación, sin afectar la operación en producción del sitio, las medidas de seguridad y protección de datos ni el acceso de EL CLIENTE a su propia información; la suspensión cesará dentro de las 24 (veinticuatro) horas siguientes al pago, sin costo de reactivación. La suspensión no prorroga gratuitamente los Servicios ni extingue las contraprestaciones devengadas o las que correspondan a los Servicios que deban continuar prestándose mientras el Contrato permanezca vigente. Si el incumplimiento persiste, EL PRESTADOR podrá ejercer la rescisión prevista en la Cláusula Décima Quinta mediante la notificación correspondiente. Hecha efectiva la rescisión, la continuidad de la operación bajo responsabilidad de EL CLIENTE no obliga a EL PRESTADOR a seguir prestando indefinidamente los servicios recurrentes; subsistirán únicamente las obligaciones que correspondan conforme a la Cláusula Vigésima Segunda, incluida la garantía de corrección en los términos de la Cláusula Décima Segunda, fracción VIII. EL PRESTADOR no destruirá, alterará ni bloqueará los datos de EL CLIENTE ni impedirá el uso de los entregables cuyos derechos ya le hayan sido transferidos conforme a la Cláusula Décima Sexta.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r>
        <w:rPr>
          <w:rFonts w:ascii="Liberation Serif" w:cs="Liberation Serif" w:eastAsia="Liberation Serif" w:hAnsi="Liberation Serif"/>
          <w:b/>
          <w:bCs/>
          <w:i w:val="false"/>
          <w:iCs w:val="false"/>
          <w:color w:val="1A1A1A"/>
          <w:sz w:val="22"/>
          <w:szCs w:val="22"/>
        </w:rPr>
        <w:t xml:space="preserve">dentro de los 30 (treinta) días naturales siguientes a la recepción del CFDI válido</w:t>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Periodo de Estabilización</w:t>
      </w:r>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 Lanzamiento en Firme, sin necesidad de declaración de las Partes, y cuyos ajustes EL PRESTADOR atiende sin costo adicional; a partir de esa fecha comienza a correr su plazo mínimo de 6 (seis) meses. La iguala opcional de la Academia, de haberse contratado en su Addendum, se causa a partir del primer día del mes calendario siguiente a la entrega de la Fase 1 en producción (Cláusula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del código contra pago.</w:t>
      </w:r>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r>
        <w:rPr>
          <w:rFonts w:ascii="Liberation Serif" w:cs="Liberation Serif" w:eastAsia="Liberation Serif" w:hAnsi="Liberation Serif"/>
          <w:b w:val="false"/>
          <w:bCs w:val="false"/>
          <w:i w:val="false"/>
          <w:iCs w:val="false"/>
          <w:color w:val="1A1A1A"/>
          <w:sz w:val="22"/>
          <w:szCs w:val="22"/>
        </w:rPr>
        <w:t xml:space="preserve">, conforme a lo siguiente: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entregará código fuente ni repositorio alguno; EL CLIENTE podrá revisar y probar los entregables en el ambiente de pruebas del proyecto como evidencia de avance y para su aprobación, sin que esa revisión transfiera titularidad, credenciales de administración ni derechos de uso distintos de los necesarios para la validación;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entregará,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r>
        <w:rPr>
          <w:rFonts w:ascii="Liberation Serif" w:cs="Liberation Serif" w:eastAsia="Liberation Serif" w:hAnsi="Liberation Serif"/>
          <w:b/>
          <w:bCs/>
          <w:i w:val="false"/>
          <w:iCs w:val="false"/>
          <w:color w:val="1A1A1A"/>
          <w:sz w:val="22"/>
          <w:szCs w:val="22"/>
        </w:rPr>
        <w:t xml:space="preserve">Anexo Dos, Sección I.4</w:t>
      </w:r>
      <w:r>
        <w:rPr>
          <w:rFonts w:ascii="Liberation Serif" w:cs="Liberation Serif" w:eastAsia="Liberation Serif" w:hAnsi="Liberation Serif"/>
          <w:b w:val="false"/>
          <w:bCs w:val="false"/>
          <w:i w:val="false"/>
          <w:iCs w:val="false"/>
          <w:color w:val="1A1A1A"/>
          <w:sz w:val="22"/>
          <w:szCs w:val="22"/>
        </w:rPr>
        <w:t xml:space="preserve">, para el Proyecto A, y conforme a la identificación de entregables del Addendum respectivo y su valuación de la Cláusula Octava, Sección VI, para los Proyectos B y C;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w:t>
      </w:r>
      <w:r>
        <w:rPr>
          <w:rFonts w:ascii="Liberation Serif" w:cs="Liberation Serif" w:eastAsia="Liberation Serif" w:hAnsi="Liberation Serif"/>
          <w:b w:val="false"/>
          <w:bCs w:val="false"/>
          <w:i w:val="false"/>
          <w:iCs w:val="false"/>
          <w:color w:val="1A1A1A"/>
          <w:sz w:val="22"/>
          <w:szCs w:val="22"/>
        </w:rPr>
        <w:t xml:space="preserve"> La falta de entrega dentro del plazo pactado constituye incumplimiento sujeto al procedimiento de subsanación de la Cláusula Décima Quinta y al límite de responsabilidad de la Cláusula Vigésima, salvo que se acredite alguno de los supuestos de su fracción IV. La falta de pago de una exhibición ya exigible faculta a EL PRESTADOR para suspender las entregas subsecuentes del proyecto de que se trate, incluida la del código pendiente, hasta su regularización, sin perjuicio de la operación de lo ya puesto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la aprobación expresa y por escrito de EL CLIENTE o la aceptación tácita en los términos de esta Cláusula permiten avanzar a la etapa siguiente y producen los efectos de exigibilidad de pago previstos en la Cláusula Novena. </w:t>
      </w:r>
      <w:r>
        <w:rPr>
          <w:rFonts w:ascii="Liberation Serif" w:cs="Liberation Serif" w:eastAsia="Liberation Serif" w:hAnsi="Liberation Serif"/>
          <w:b/>
          <w:bCs/>
          <w:i w:val="false"/>
          <w:iCs w:val="false"/>
          <w:color w:val="1A1A1A"/>
          <w:sz w:val="22"/>
          <w:szCs w:val="22"/>
        </w:rPr>
        <w:t xml:space="preserve">Revisión y aceptación tácita.</w:t>
      </w:r>
      <w:r>
        <w:rPr>
          <w:rFonts w:ascii="Liberation Serif" w:cs="Liberation Serif" w:eastAsia="Liberation Serif" w:hAnsi="Liberation Serif"/>
          <w:b w:val="false"/>
          <w:bCs w:val="false"/>
          <w:i w:val="false"/>
          <w:iCs w:val="false"/>
          <w:color w:val="1A1A1A"/>
          <w:sz w:val="22"/>
          <w:szCs w:val="22"/>
        </w:rPr>
        <w:t xml:space="preserve"> EL CLIENTE contará con un plazo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r>
        <w:rPr>
          <w:rFonts w:ascii="Liberation Serif" w:cs="Liberation Serif" w:eastAsia="Liberation Serif" w:hAnsi="Liberation Serif"/>
          <w:b/>
          <w:bCs/>
          <w:i w:val="false"/>
          <w:iCs w:val="false"/>
          <w:color w:val="1A1A1A"/>
          <w:sz w:val="22"/>
          <w:szCs w:val="22"/>
        </w:rPr>
        <w:t xml:space="preserve">Cambios sobre etapas aprobadas.</w:t>
      </w:r>
      <w:r>
        <w:rPr>
          <w:rFonts w:ascii="Liberation Serif" w:cs="Liberation Serif" w:eastAsia="Liberation Serif" w:hAnsi="Liberation Serif"/>
          <w:b w:val="false"/>
          <w:bCs w:val="false"/>
          <w:i w:val="false"/>
          <w:iCs w:val="false"/>
          <w:color w:val="1A1A1A"/>
          <w:sz w:val="22"/>
          <w:szCs w:val="22"/>
        </w:rPr>
        <w:t xml:space="preserve"> Una vez aprobada una etapa, cualquier cambio solicitado por EL CLIENTE sobre elementos ya aprobados se evaluará en función del tiempo y esfuerzo adicional requerido; su costo se estimará a la tarifa horaria de la Cláusula Sexta o, si constituye un Desarrollo Mayor, mediante cotización, y se ejecutará solo con la aprobación previa y por escrito de EL CLIENTE; EL PRESTADOR informará en un plazo no mayor a 24 horas el impacto en las fechas. Los valores por etapa del Anexo Dos, Sección I.4, sirven para valuar los entregables del Proyecto A en los supuestos de esta Cláusula y de la Cláusula Vigésima Segunda. Para los Proyectos B y C se utilizarán los entregables identificados en su Addendum y su valuación conforme a la Cláusula Octava, Sección VI.</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presentará el plan de remediación de la Cláusula Décima Quinta con un plazo de subsanación no menor a 15 (quince) días hábiles; si no lo presenta, o si vencido el plazo el incumplimiento subsiste, devolverá a EL CLIENTE las cantidades recibidas por ese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ese proyecto, dentro de los 30 (treinta) días naturales</w:t>
      </w:r>
      <w:r>
        <w:rPr>
          <w:rFonts w:ascii="Liberation Serif" w:cs="Liberation Serif" w:eastAsia="Liberation Serif" w:hAnsi="Liberation Serif"/>
          <w:b w:val="false"/>
          <w:bCs w:val="false"/>
          <w:i w:val="false"/>
          <w:iCs w:val="false"/>
          <w:color w:val="1A1A1A"/>
          <w:sz w:val="22"/>
          <w:szCs w:val="22"/>
        </w:rPr>
        <w:t xml:space="preserve"> siguientes.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 y </w:t>
      </w:r>
      <w:r>
        <w:rPr>
          <w:rFonts w:ascii="Liberation Serif" w:cs="Liberation Serif" w:eastAsia="Liberation Serif" w:hAnsi="Liberation Serif"/>
          <w:b w:val="false"/>
          <w:bCs w:val="false"/>
          <w:i w:val="false"/>
          <w:iCs w:val="false"/>
          <w:color w:val="1A1A1A"/>
          <w:sz w:val="22"/>
          <w:szCs w:val="22"/>
        </w:rPr>
        <w:t xml:space="preserve">queda comprendida en el tope único de la Cláusula Vigésima, sin ser adicional a él</w:t>
      </w:r>
      <w:r>
        <w:rPr>
          <w:rFonts w:ascii="Liberation Serif" w:cs="Liberation Serif" w:eastAsia="Liberation Serif" w:hAnsi="Liberation Serif"/>
          <w:b/>
          <w:bCs/>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 no limitativa: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del proyecto, valuado con los hitos y valores por etapa del Anexo Dos, Sección I.4, para el Proyecto A, o con los entregables identificados en su Addendum y su valuación de la Cláusula Octava, Sección VI, para los Proyectos B y C, más los gastos directos documentados en que EL PRESTADOR haya incurrido, incluyendo las etapas del proyecto que ya se encuentren en producción aunque no hayan sido entregadas formalmente</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 sin que ningún colaborador de EL PRESTADOR quede a disposición ni bajo la dirección de EL CLIENTE.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 dentro del alcance pactado y conforme al procedimiento de definición y control de cambios del Anexo Uno</w:t>
      </w:r>
      <w:r>
        <w:rPr>
          <w:rFonts w:ascii="Liberation Serif" w:cs="Liberation Serif" w:eastAsia="Liberation Serif" w:hAnsi="Liberation Serif"/>
          <w:b w:val="false"/>
          <w:bCs w:val="false"/>
          <w:i w:val="false"/>
          <w:iCs w:val="false"/>
          <w:color w:val="1A1A1A"/>
          <w:sz w:val="22"/>
          <w:szCs w:val="22"/>
        </w:rPr>
        <w:t xml:space="preserve">; dicha infraestructura permanece bajo control de EL CLIENTE conforme al mismo Anexo. Al cierre y contra los pagos que correspondan, EL CLIENTE recibirá el código fuente, los repositorios, la documentación y las licencias previstos en las Cláusulas Novena y Décima Sexta y en el inventario del Anexo Dos, Sección V, para la operación y mantenimiento autónomos de los entregables, con las exclusiones de código fuente expresamente pactadas para los Componentes Preexistentes.</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da lugar a las consecuencias previstas en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I. Indemnización.</w:t>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 y representantes, de las reclamaciones de terceros derivadas de: (a) el incumplimiento de EL PRESTADOR a las leyes aplicables; (b) la infracción de derechos de propiedad intelectual de terceros por los entregables, en los términos de la Cláusula Décima Sexta; o (c) actos u omisiones dolosos o negligentes de EL PRESTADOR, su personal o sus subcontratistas en la prestación de los Servicios; siempre que la reclamación no derive de un hecho, instrucción o insumo atribuible a EL CLIENTE, que EL CLIENTE la notifique oportunamente y que otorgue a EL PRESTADOR el control de la defensa, sin perjuicio del derecho de EL CLIENTE a intervenir con sus propios asesores, cuyos honorarios razonables reembolsará EL PRESTADOR cuando exista conflicto de interés en la defensa. Esta obligación queda sujeta a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Obtener, mantener vigentes y exhibir a requerimiento de EL CLIENTE las licencias, permisos, autorizaciones y registros necesarios para la prestación de los Servicios, siendo el único responsable frente a la autoridad por su incumplimiento.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 a las leyes, reglamentos y normas aplicables y dar cabal cumplimiento a los términos, plazos y especificaciones del Contrato, sus Anexos y Addenda, que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componente, fase y entregable en los plazos, formatos y estándares pactados. El retraso no justificado por causas atribuibles a EL CLIENTE, o por caso fortuito o fuerza mayor debidamente acreditados, sujeta a EL PRESTADOR a las consecuencias de la Cláusula Décima Quinta, sin perjuicio del derecho de EL CLIENTE a exigir el cumplimiento 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cuenta con los derechos y licencias suficientes para su uso, explotación y cesión a EL CLIENTE, y que no infringen derechos de autor, marcas, patentes, secretos industriales ni otros derechos de terceros. EL PRESTADOR entregará en cada hito un inventario de los componentes de software de terceros 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 autorización previa y por escrito de EL CLIENTE antes de su integración. Los insumos aportados por EL CLIENTE (fotografías, marcas, textos y bases de conocimiento) quedan bajo la garantía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sobre los entregables en los términos de la Cláusula Décima Sexta y entregarle, sin costo adicional, el código fuente, los repositorios, las credenciales de administración, las bases de datos y la documentación técnica necesarios para operar, mantener y modificar los entregables de manera autónoma, conforme a la Cláusula Novena, Sección III, es decir, </w:t>
      </w:r>
      <w:r>
        <w:rPr>
          <w:rFonts w:ascii="Liberation Serif" w:cs="Liberation Serif" w:eastAsia="Liberation Serif" w:hAnsi="Liberation Serif"/>
          <w:b/>
          <w:bCs/>
          <w:i w:val="false"/>
          <w:iCs w:val="false"/>
          <w:color w:val="1A1A1A"/>
          <w:sz w:val="22"/>
          <w:szCs w:val="22"/>
        </w:rPr>
        <w:t xml:space="preserve">por mitades y contra cada exhibición efectivamente pagada</w:t>
      </w:r>
      <w:r>
        <w:rPr>
          <w:rFonts w:ascii="Liberation Serif" w:cs="Liberation Serif" w:eastAsia="Liberation Serif" w:hAnsi="Liberation Serif"/>
          <w:b w:val="false"/>
          <w:bCs w:val="false"/>
          <w:i w:val="false"/>
          <w:iCs w:val="false"/>
          <w:color w:val="1A1A1A"/>
          <w:sz w:val="22"/>
          <w:szCs w:val="22"/>
        </w:rPr>
        <w:t xml:space="preserve">,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 cada pago. La falta de entrega en ese plazo constituye incumplimiento sujeto al procedimiento de subsanación de la Cláusula Décima Quinta y al límite de responsabilidad de la Cláusula Vigésima, salvo que se acredite alguno de los supuestos de su fracción IV.</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conocimiento de EL CLIENTE, y cumplir la legislación de protección de datos personales conforme a las Cláusulas Décima Séptima y Décima Octava, respondiendo por las vulneraciones de seguridad, el uso indebido o la divulgación no autorizada que resulten de su actuación, la de su personal o la de sus subcontratistas, en los términos de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VIII. Garantía de corrección.</w:t>
      </w:r>
      <w:r>
        <w:rPr>
          <w:rFonts w:ascii="Liberation Serif" w:cs="Liberation Serif" w:eastAsia="Liberation Serif" w:hAnsi="Liberation Serif"/>
          <w:b w:val="false"/>
          <w:bCs w:val="false"/>
          <w:i w:val="false"/>
          <w:iCs w:val="false"/>
          <w:color w:val="1A1A1A"/>
          <w:sz w:val="22"/>
          <w:szCs w:val="22"/>
        </w:rPr>
        <w:t xml:space="preserve"> a) EL PRESTADOR corregirá, sin costo adicional, los errores, defectos, fallas o desviaciones respecto de las especificaciones pactadas que sean imputables a su desarrollo o implementación («Defecto») y que EL CLIENTE reporte por escrito durante la vigencia de la iguala del proyecto correspondiente y durante los 6 (seis) meses siguientes a su terminación. La cobertura comprende también el Periodo de Estabilización y el lapso entre su conclusión y el inicio de la iguala. Si EL CLIENTE no contrata la iguala opcional de la Academia, la garantía de ese proyecto comprenderá los 6 (seis) meses siguientes a su aprobación expresa o aceptación tácita. b) Mientras la iguala se encuentre vigente y durante el Periodo de Estabilización, los Defectos se atenderán conforme a los tiempos y severidades del Anexo Cinco. Fuera de esos periodos, los Defectos cubiertos por la garantía se atenderán mediante el procedimiento y el plan de remediación de la Cláusula Décima Quinta, sin que ello implique la prestación de soporte recurrente, monitoreo u operación continua. Los Defectos que requieran cambios estructurales se atenderán mediante dicho plan de remediación. c) La garantía cubre la corrección de Defectos respecto del alcance pactado y no incluye cambios de alcance, nuevas funcionalidades o mejoras. Tampoco comprende fallas causadas por modificaciones realizadas por EL CLIENTE o por terceros, por la infraestructura o los insumos a cargo de EL CLIENTE, o por cambios de las plataformas de terceros, salvo en la medida en que sean imputables a una actuación u omisión de EL PRESTADOR contraria al Contrato. Las obligaciones de mantenimiento y continuidad expresamente pactadas conservan su alcance mientras sean exigibles. d) Vencido el plazo de garantía, las correcciones se cotizarán por separado. Las mejoras solicitadas durante una iguala vigente se atenderán con cargo a su bolsa de horas y los excedentes se regirán por la Cláusula Sexta. La corrección de un Defecto cubierto por la garantía no se cargará a la bolsa de mejora. </w:t>
      </w:r>
      <w:r>
        <w:rPr>
          <w:rFonts w:ascii="Liberation Serif" w:cs="Liberation Serif" w:eastAsia="Liberation Serif" w:hAnsi="Liberation Serif"/>
          <w:b/>
          <w:bCs/>
          <w:i w:val="false"/>
          <w:iCs w:val="false"/>
          <w:color w:val="1A1A1A"/>
          <w:sz w:val="22"/>
          <w:szCs w:val="22"/>
        </w:rPr>
        <w:t xml:space="preserve">IX.</w:t>
      </w:r>
      <w:r>
        <w:rPr>
          <w:rFonts w:ascii="Liberation Serif" w:cs="Liberation Serif" w:eastAsia="Liberation Serif" w:hAnsi="Liberation Serif"/>
          <w:b w:val="false"/>
          <w:bCs w:val="false"/>
          <w:i w:val="false"/>
          <w:iCs w:val="false"/>
          <w:color w:val="1A1A1A"/>
          <w:sz w:val="22"/>
          <w:szCs w:val="22"/>
        </w:rPr>
        <w:t xml:space="preserve"> Responder por los actos y omisiones de su personal, colaboradores y subcontratistas como si fueran propios. EL PRESTADOR no subcontratará la prestación sustancial de los Servicios, entendida como más del 50% (cincuenta por ciento) de los Servicios de un proyecto, sin autorización previa y por escrito de EL CLIENTE; no se consideran subcontratación las plataformas de inteligencia artificial, voz y mensajería de la Cláusula Décima Cuarta ni los colaboradores independientes sujetos a confidencialidad.</w:t>
      </w:r>
    </w:p>
    <w:p>
      <w:pPr>
        <w:spacing w:after="140" w:line="264"/>
        <w:jc w:val="both"/>
      </w:pPr>
      <w:r>
        <w:rPr>
          <w:rFonts w:ascii="Liberation Serif" w:cs="Liberation Serif" w:eastAsia="Liberation Serif" w:hAnsi="Liberation Serif"/>
          <w:b/>
          <w:bCs/>
          <w:i w:val="false"/>
          <w:iCs w:val="false"/>
          <w:color w:val="1A1A1A"/>
          <w:sz w:val="22"/>
          <w:szCs w:val="22"/>
        </w:rPr>
        <w:t xml:space="preserve">X.</w:t>
      </w:r>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los Servicios, garantizar una transición ordenada, con la transferencia de conocimiento necesaria, sin afectar la calidad, continuidad ni plazos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—o a través del tercero que EL CLIENTE designe por escrito—, sin intervención alguna de EL PRESTADOR</w:t>
      </w:r>
      <w:r>
        <w:rPr>
          <w:rFonts w:ascii="Liberation Serif" w:cs="Liberation Serif" w:eastAsia="Liberation Serif" w:hAnsi="Liberation Serif"/>
          <w:b w:val="false"/>
          <w:bCs w:val="false"/>
          <w:i w:val="false"/>
          <w:iCs w:val="false"/>
          <w:color w:val="1A1A1A"/>
          <w:sz w:val="22"/>
          <w:szCs w:val="22"/>
        </w:rPr>
        <w:t xml:space="preserve"> (plataforma de voz, Modelos de Lenguaje Autorizados y mensajería de WhatsApp Business API). EL PRESTADOR no contrata, no administra ni anticipa dichos consumos, no es parte de la relación entre EL CLIENTE y esos proveedores y no responde por su facturación, suspensión o cancelación.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 y la elección y sustitución entre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r>
        <w:rPr>
          <w:rFonts w:ascii="Liberation Serif" w:cs="Liberation Serif" w:eastAsia="Liberation Serif" w:hAnsi="Liberation Serif"/>
          <w:b w:val="false"/>
          <w:bCs w:val="false"/>
          <w:i w:val="false"/>
          <w:iCs w:val="false"/>
          <w:color w:val="1A1A1A"/>
          <w:sz w:val="22"/>
          <w:szCs w:val="22"/>
        </w:rPr>
        <w:t xml:space="preserve">, la incumplida contará con </w:t>
      </w:r>
      <w:r>
        <w:rPr>
          <w:rFonts w:ascii="Liberation Serif" w:cs="Liberation Serif" w:eastAsia="Liberation Serif" w:hAnsi="Liberation Serif"/>
          <w:b/>
          <w:bCs/>
          <w:i w:val="false"/>
          <w:iCs w:val="false"/>
          <w:color w:val="1A1A1A"/>
          <w:sz w:val="22"/>
          <w:szCs w:val="22"/>
        </w:rPr>
        <w:t xml:space="preserve">10 (diez) días hábiles</w:t>
      </w:r>
      <w:r>
        <w:rPr>
          <w:rFonts w:ascii="Liberation Serif" w:cs="Liberation Serif" w:eastAsia="Liberation Serif" w:hAnsi="Liberation Serif"/>
          <w:b w:val="false"/>
          <w:bCs w:val="false"/>
          <w:i w:val="false"/>
          <w:iCs w:val="false"/>
          <w:color w:val="1A1A1A"/>
          <w:sz w:val="22"/>
          <w:szCs w:val="22"/>
        </w:rPr>
        <w:t xml:space="preserve"> para subsanar, conforme a la Cláusula Novena.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los 5 (cinco) días hábiles siguientes a la notificación,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Retrasos imputables a EL CLIENTE.</w:t>
      </w:r>
      <w:r>
        <w:rPr>
          <w:rFonts w:ascii="Liberation Serif" w:cs="Liberation Serif" w:eastAsia="Liberation Serif" w:hAnsi="Liberation Serif"/>
          <w:b w:val="false"/>
          <w:bCs w:val="false"/>
          <w:i w:val="false"/>
          <w:iCs w:val="false"/>
          <w:color w:val="1A1A1A"/>
          <w:sz w:val="22"/>
          <w:szCs w:val="22"/>
        </w:rPr>
        <w:t xml:space="preserve"> Cuando el retraso sea imputable a EL CLIENTE —</w:t>
      </w:r>
      <w:r>
        <w:rPr>
          <w:rFonts w:ascii="Liberation Serif" w:cs="Liberation Serif" w:eastAsia="Liberation Serif" w:hAnsi="Liberation Serif"/>
          <w:b/>
          <w:bCs/>
          <w:i w:val="false"/>
          <w:iCs w:val="false"/>
          <w:color w:val="1A1A1A"/>
          <w:sz w:val="22"/>
          <w:szCs w:val="22"/>
        </w:rPr>
        <w:t xml:space="preserve">de manera limitativa</w:t>
      </w:r>
      <w:r>
        <w:rPr>
          <w:rFonts w:ascii="Liberation Serif" w:cs="Liberation Serif" w:eastAsia="Liberation Serif" w:hAnsi="Liberation Serif"/>
          <w:b w:val="false"/>
          <w:bCs w:val="false"/>
          <w:i w:val="false"/>
          <w:iCs w:val="false"/>
          <w:color w:val="1A1A1A"/>
          <w:sz w:val="22"/>
          <w:szCs w:val="22"/>
        </w:rPr>
        <w:t xml:space="preserve">: la falta o demora en las aportaciones, accesos, credenciales, infraestructura o insumos a su cargo conforme al Anexo Uno—, además de extenderse los plazos día por día, EL CLIENTE pagará a EL PRESTADOR los </w:t>
      </w:r>
      <w:r>
        <w:rPr>
          <w:rFonts w:ascii="Liberation Serif" w:cs="Liberation Serif" w:eastAsia="Liberation Serif" w:hAnsi="Liberation Serif"/>
          <w:b/>
          <w:bCs/>
          <w:i w:val="false"/>
          <w:iCs w:val="false"/>
          <w:color w:val="1A1A1A"/>
          <w:sz w:val="22"/>
          <w:szCs w:val="22"/>
        </w:rPr>
        <w:t xml:space="preserve">días de stand-by del equipo</w:t>
      </w:r>
      <w:r>
        <w:rPr>
          <w:rFonts w:ascii="Liberation Serif" w:cs="Liberation Serif" w:eastAsia="Liberation Serif" w:hAnsi="Liberation Serif"/>
          <w:b w:val="false"/>
          <w:bCs w:val="false"/>
          <w:i w:val="false"/>
          <w:iCs w:val="false"/>
          <w:color w:val="1A1A1A"/>
          <w:sz w:val="22"/>
          <w:szCs w:val="22"/>
        </w:rPr>
        <w:t xml:space="preserve"> a razón de </w:t>
      </w:r>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Franquicia.</w:t>
      </w:r>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r>
        <w:rPr>
          <w:rFonts w:ascii="Liberation Serif" w:cs="Liberation Serif" w:eastAsia="Liberation Serif" w:hAnsi="Liberation Serif"/>
          <w:b/>
          <w:bCs/>
          <w:i w:val="false"/>
          <w:iCs w:val="false"/>
          <w:color w:val="1A1A1A"/>
          <w:sz w:val="22"/>
          <w:szCs w:val="22"/>
        </w:rPr>
        <w:t xml:space="preserve">5 (cinco) días hábiles sin cargo</w:t>
      </w:r>
      <w:r>
        <w:rPr>
          <w:rFonts w:ascii="Liberation Serif" w:cs="Liberation Serif" w:eastAsia="Liberation Serif" w:hAnsi="Liberation Serif"/>
          <w:b w:val="false"/>
          <w:bCs w:val="false"/>
          <w:i w:val="false"/>
          <w:iCs w:val="false"/>
          <w:color w:val="1A1A1A"/>
          <w:sz w:val="22"/>
          <w:szCs w:val="22"/>
        </w:rPr>
        <w:t xml:space="preserve">; el stand-by se causa </w:t>
      </w:r>
      <w:r>
        <w:rPr>
          <w:rFonts w:ascii="Liberation Serif" w:cs="Liberation Serif" w:eastAsia="Liberation Serif" w:hAnsi="Liberation Serif"/>
          <w:b/>
          <w:bCs/>
          <w:i w:val="false"/>
          <w:iCs w:val="false"/>
          <w:color w:val="1A1A1A"/>
          <w:sz w:val="22"/>
          <w:szCs w:val="22"/>
        </w:rPr>
        <w:t xml:space="preserve">a partir del sexto día hábil de cada evento</w:t>
      </w:r>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o aportación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 </w:t>
      </w:r>
      <w:r>
        <w:rPr>
          <w:rFonts w:ascii="Liberation Serif" w:cs="Liberation Serif" w:eastAsia="Liberation Serif" w:hAnsi="Liberation Serif"/>
          <w:b/>
          <w:bCs/>
          <w:i w:val="false"/>
          <w:iCs w:val="false"/>
          <w:color w:val="1A1A1A"/>
          <w:sz w:val="22"/>
          <w:szCs w:val="22"/>
        </w:rPr>
        <w:t xml:space="preserve">El stand-by nunca corre durante un plazo que este Contrato conceda a EL CLIENTE</w:t>
      </w:r>
      <w:r>
        <w:rPr>
          <w:rFonts w:ascii="Liberation Serif" w:cs="Liberation Serif" w:eastAsia="Liberation Serif" w:hAnsi="Liberation Serif"/>
          <w:b w:val="false"/>
          <w:bCs w:val="false"/>
          <w:i w:val="false"/>
          <w:iCs w:val="false"/>
          <w:color w:val="1A1A1A"/>
          <w:sz w:val="22"/>
          <w:szCs w:val="22"/>
        </w:rPr>
        <w:t xml:space="preserve">: se computa únicamente a partir del vencimiento de la fecha límite del requerimiento de que se trate conforme al Anexo Uno, y con la franquicia prevista en esta Sección. En particular, </w:t>
      </w:r>
      <w:r>
        <w:rPr>
          <w:rFonts w:ascii="Liberation Serif" w:cs="Liberation Serif" w:eastAsia="Liberation Serif" w:hAnsi="Liberation Serif"/>
          <w:b/>
          <w:bCs/>
          <w:i w:val="false"/>
          <w:iCs w:val="false"/>
          <w:color w:val="1A1A1A"/>
          <w:sz w:val="22"/>
          <w:szCs w:val="22"/>
        </w:rPr>
        <w:t xml:space="preserve">la demora de EL CLIENTE en resolver una solicitud de aprobación del Anexo Dos no causa cargo de stand-by alguno</w:t>
      </w:r>
      <w:r>
        <w:rPr>
          <w:rFonts w:ascii="Liberation Serif" w:cs="Liberation Serif" w:eastAsia="Liberation Serif" w:hAnsi="Liberation Serif"/>
          <w:b w:val="false"/>
          <w:bCs w:val="false"/>
          <w:i w:val="false"/>
          <w:iCs w:val="false"/>
          <w:color w:val="1A1A1A"/>
          <w:sz w:val="22"/>
          <w:szCs w:val="22"/>
        </w:rPr>
        <w:t xml:space="preserve">: su único efecto es la aceptación tácita prevista en la Cláusula Décima y la extensión de los plazos día por día.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extendiéndose el plazo lo necesario, 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el cambio se cotiza y se cobra conforme a la Cláusula Décima, </w:t>
      </w:r>
      <w:r>
        <w:rPr>
          <w:rFonts w:ascii="Liberation Serif" w:cs="Liberation Serif" w:eastAsia="Liberation Serif" w:hAnsi="Liberation Serif"/>
          <w:b/>
          <w:bCs/>
          <w:i w:val="false"/>
          <w:iCs w:val="false"/>
          <w:color w:val="1A1A1A"/>
          <w:sz w:val="22"/>
          <w:szCs w:val="22"/>
        </w:rPr>
        <w:t xml:space="preserve">sin cargo de stand-by</w:t>
      </w:r>
      <w:r>
        <w:rPr>
          <w:rFonts w:ascii="Liberation Serif" w:cs="Liberation Serif" w:eastAsia="Liberation Serif" w:hAnsi="Liberation Serif"/>
          <w:b w:val="false"/>
          <w:bCs w:val="false"/>
          <w:i w:val="false"/>
          <w:iCs w:val="false"/>
          <w:color w:val="1A1A1A"/>
          <w:sz w:val="22"/>
          <w:szCs w:val="22"/>
        </w:rPr>
        <w:t xml:space="preserve">;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Obra por encargo y cesión.</w:t>
      </w:r>
      <w:r>
        <w:rPr>
          <w:rFonts w:ascii="Liberation Serif" w:cs="Liberation Serif" w:eastAsia="Liberation Serif" w:hAnsi="Liberation Serif"/>
          <w:b w:val="false"/>
          <w:bCs w:val="false"/>
          <w:i w:val="false"/>
          <w:iCs w:val="false"/>
          <w:color w:val="1A1A1A"/>
          <w:sz w:val="22"/>
          <w:szCs w:val="22"/>
        </w:rPr>
        <w:t xml:space="preserve"> EL CLIENTE será titular de los derechos patrimoniales sobre los desarrollos generados específicamente para EL CLIENTE como resultado del cumplimiento del Contrato —de manera enunciativa: el código fuente del sitio y de las integraciones específicas, los repositorios, las plantillas de página, el contenido editorial, las imágenes producidas para EL CLIENTE, los datos estructurados, la configuración y los prompts específicos de “BES” para EL CLIENTE, y la documentación de los entregables—, 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w:t>
      </w:r>
    </w:p>
    <w:p>
      <w:pPr>
        <w:spacing w:after="140" w:line="264"/>
        <w:jc w:val="both"/>
      </w:pPr>
      <w:r>
        <w:rPr>
          <w:rFonts w:ascii="Liberation Serif" w:cs="Liberation Serif" w:eastAsia="Liberation Serif" w:hAnsi="Liberation Serif"/>
          <w:b/>
          <w:bCs/>
          <w:i w:val="false"/>
          <w:iCs w:val="false"/>
          <w:color w:val="1A1A1A"/>
          <w:sz w:val="22"/>
          <w:szCs w:val="22"/>
        </w:rPr>
        <w:t xml:space="preserve">II. Componentes Preexistentes.</w:t>
      </w:r>
      <w:r>
        <w:rPr>
          <w:rFonts w:ascii="Liberation Serif" w:cs="Liberation Serif" w:eastAsia="Liberation Serif" w:hAnsi="Liberation Serif"/>
          <w:b w:val="false"/>
          <w:bCs w:val="false"/>
          <w:i w:val="false"/>
          <w:iCs w:val="false"/>
          <w:color w:val="1A1A1A"/>
          <w:sz w:val="22"/>
          <w:szCs w:val="22"/>
        </w:rPr>
        <w:t xml:space="preserve"> Quedan excluidos de la cesión y de la entrega en código fuente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 de uso general, las plantillas maestras, los prompts de sistema de uso general, las metodologías y las herramientas de desarrollo—, sobre los cuales EL PRESTADOR conserva la titularidad exclusiva.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 intransferible y libre de regalías</w:t>
      </w:r>
      <w:r>
        <w:rPr>
          <w:rFonts w:ascii="Liberation Serif" w:cs="Liberation Serif" w:eastAsia="Liberation Serif" w:hAnsi="Liberation Serif"/>
          <w:b w:val="false"/>
          <w:bCs w:val="false"/>
          <w:i w:val="false"/>
          <w:iCs w:val="false"/>
          <w:color w:val="1A1A1A"/>
          <w:sz w:val="22"/>
          <w:szCs w:val="22"/>
        </w:rPr>
        <w:t xml:space="preserve"> para usar, operar, 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r>
        <w:rPr>
          <w:rFonts w:ascii="Liberation Serif" w:cs="Liberation Serif" w:eastAsia="Liberation Serif" w:hAnsi="Liberation Serif"/>
          <w:b/>
          <w:bCs/>
          <w:i w:val="false"/>
          <w:iCs w:val="false"/>
          <w:color w:val="1A1A1A"/>
          <w:sz w:val="22"/>
          <w:szCs w:val="22"/>
        </w:rPr>
        <w:t xml:space="preserve">Anexo Dos, Sección V</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y garantía.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para revisión y pruebas previsto en dicha Sección.</w:t>
      </w:r>
    </w:p>
    <w:p>
      <w:pPr>
        <w:spacing w:after="140" w:line="264"/>
        <w:jc w:val="both"/>
      </w:pPr>
      <w:r>
        <w:rPr>
          <w:rFonts w:ascii="Liberation Serif" w:cs="Liberation Serif" w:eastAsia="Liberation Serif" w:hAnsi="Liberation Serif"/>
          <w:b/>
          <w:bCs/>
          <w:i w:val="false"/>
          <w:iCs w:val="false"/>
          <w:color w:val="1A1A1A"/>
          <w:sz w:val="22"/>
          <w:szCs w:val="22"/>
        </w:rPr>
        <w:t xml:space="preserve">IV. Garantía de no infracción e indemnización.</w:t>
      </w:r>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6 (seis)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Confidencialidad.</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r>
        <w:rPr>
          <w:rFonts w:ascii="Liberation Serif" w:cs="Liberation Serif" w:eastAsia="Liberation Serif" w:hAnsi="Liberation Serif"/>
          <w:b/>
          <w:bCs/>
          <w:i w:val="false"/>
          <w:iCs w:val="false"/>
          <w:color w:val="1A1A1A"/>
          <w:sz w:val="22"/>
          <w:szCs w:val="22"/>
        </w:rPr>
        <w:t xml:space="preserve">II. Datos personales.</w:t>
      </w:r>
      <w:r>
        <w:rPr>
          <w:rFonts w:ascii="Liberation Serif" w:cs="Liberation Serif" w:eastAsia="Liberation Serif" w:hAnsi="Liberation Serif"/>
          <w:b w:val="false"/>
          <w:bCs w:val="false"/>
          <w:i w:val="false"/>
          <w:iCs w:val="false"/>
          <w:color w:val="1A1A1A"/>
          <w:sz w:val="22"/>
          <w:szCs w:val="22"/>
        </w:rPr>
        <w:t xml:space="preserve"> 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r>
        <w:rPr>
          <w:rFonts w:ascii="Liberation Serif" w:cs="Liberation Serif" w:eastAsia="Liberation Serif" w:hAnsi="Liberation Serif"/>
          <w:b/>
          <w:bCs/>
          <w:i w:val="false"/>
          <w:iCs w:val="false"/>
          <w:color w:val="1A1A1A"/>
          <w:sz w:val="22"/>
          <w:szCs w:val="22"/>
        </w:rPr>
        <w:t xml:space="preserve">III. Medidas de seguridad y vulneraciones.</w:t>
      </w:r>
      <w:r>
        <w:rPr>
          <w:rFonts w:ascii="Liberation Serif" w:cs="Liberation Serif" w:eastAsia="Liberation Serif" w:hAnsi="Liberation Serif"/>
          <w:b w:val="false"/>
          <w:bCs w:val="false"/>
          <w:i w:val="false"/>
          <w:iCs w:val="false"/>
          <w:color w:val="1A1A1A"/>
          <w:sz w:val="22"/>
          <w:szCs w:val="22"/>
        </w:rPr>
        <w:t xml:space="preserve"> EL PRESTADOR adoptará las medidas de seguridad administrativas, técnicas y físicas de la Cláusula Décima Octava para evitar la alteración, pérdida, tratamiento, transferencia o acceso no autorizados de los datos personales, y notificará a EL CLIENTE cualquier vulneración de seguridad sin dilación indebida y a más tardar en el plazo de la Cláusula Décima Octava, apartado IV, indicando la magnitud de la exposición, los datos comprometidos y las acciones emprendidas. </w:t>
      </w:r>
      <w:r>
        <w:rPr>
          <w:rFonts w:ascii="Liberation Serif" w:cs="Liberation Serif" w:eastAsia="Liberation Serif" w:hAnsi="Liberation Serif"/>
          <w:b/>
          <w:bCs/>
          <w:i w:val="false"/>
          <w:iCs w:val="false"/>
          <w:color w:val="1A1A1A"/>
          <w:sz w:val="22"/>
          <w:szCs w:val="22"/>
        </w:rPr>
        <w:t xml:space="preserve">IV. Uso, supresión y devolución.</w:t>
      </w:r>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 la Cláusula Décima Octava, apartado VI. </w:t>
      </w:r>
      <w:r>
        <w:rPr>
          <w:rFonts w:ascii="Liberation Serif" w:cs="Liberation Serif" w:eastAsia="Liberation Serif" w:hAnsi="Liberation Serif"/>
          <w:b/>
          <w:bCs/>
          <w:i w:val="false"/>
          <w:iCs w:val="false"/>
          <w:color w:val="1A1A1A"/>
          <w:sz w:val="22"/>
          <w:szCs w:val="22"/>
        </w:rPr>
        <w:t xml:space="preserve">V. Responsabilidad.</w:t>
      </w:r>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“BES”</w:t>
      </w:r>
      <w:r>
        <w:rPr>
          <w:rFonts w:ascii="Liberation Serif" w:cs="Liberation Serif" w:eastAsia="Liberation Serif" w:hAnsi="Liberation Serif"/>
          <w:b w:val="false"/>
          <w:bCs w:val="false"/>
          <w:i w:val="false"/>
          <w:iCs w:val="false"/>
          <w:color w:val="1A1A1A"/>
          <w:sz w:val="22"/>
          <w:szCs w:val="22"/>
        </w:rPr>
        <w:t xml:space="preserve"> (canal web y, activado el Proyecto B, WhatsApp), incluidas las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incluidas sus evaluaciones y las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los datos personales alojados, procesados o transmitidos a través de las plataformas de terceros que EL PRESTADOR integre para la prestación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“BES”)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sistema</w:t>
      </w:r>
      <w:r>
        <w:rPr>
          <w:rFonts w:ascii="Liberation Serif" w:cs="Liberation Serif" w:eastAsia="Liberation Serif" w:hAnsi="Liberation Serif"/>
          <w:b w:val="false"/>
          <w:bCs w:val="false"/>
          <w:i w:val="false"/>
          <w:iCs w:val="false"/>
          <w:color w:val="1A1A1A"/>
          <w:sz w:val="22"/>
          <w:szCs w:val="22"/>
        </w:rPr>
        <w:t xml:space="preserve"> del proyecto. EL PRESTADOR documentará y pondrá a disposición de EL CLIENTE, dentro de los 10 (diez) días hábiles siguientes a su solicitud, evidencia técnica verificable (bitácoras, configuración de retención o reportes del proveedor de hospedaje) del cumplimiento de este principio. Respecto de las plataformas de voz, del modelo de razonamiento y de WhatsApp Business API utilizadas para “BES” y el BDS, EL PRESTADOR configurará los periodos de retención más breves que permita cada plataforma y que sean compatibles con la operación pactada, e informará por escrito a EL CLIENTE, antes de la activación del canal correspondiente, la política de retención del proveedor y las limitaciones de configuración que subsistan. La obligación de no conservar respaldos en el entorno del sitio no se entenderá como garantía de retención cero en sistemas de terceros que no la permitan. La integración y configuración de esas plataformas se sujetarán también a la evaluación y, cuando corresponda, a la autorización previstas en el apartado III de esta Cláusula.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con bitácora de accesos a datos personales que registre usuario, fecha, hora, operación e identificador del registro, sin copiar el dato, a disposición de EL CLIENTE cuando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operativas 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autenticación multifactor para administradores y operadores en los sistemas administrados por EL PRESTADOR (consola interna, tablero, repositorios y paneles de las plataformas de terceros) y, para los usuarios de EL CLIENTE, mediante el proveedor de identidad de EL CLIENTE (Anexo Uno, 0.4);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semestral de estas medidas, documentada en el reporte mensual del Anexo Cinco;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 de las condiciones de privacidad y seguridad de toda nueva plataforma de terceros antes de integrarla a los Proyectos, con aviso previo por escrito a EL CLIENTE y autorización expresa de éste cuando la plataforma no ofrezca garantías razonablemente equivalentes a las aquí pactadas. Las obligaciones de configuración, control de accesos y documentación de EL PRESTADOR se refieren a los sistemas, componentes y permisos bajo su administración efectiva. EL CLIENTE proporcionará y mantendrá las habilitaciones a su cargo conforme al Anexo Uno. Esta distribución no excluye la responsabilidad de EL PRESTADOR por una configuración u omisión que le sea imputable dentro de sus obligaciones contractuales.</w:t>
      </w:r>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 sin dilación indebida y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 las medidas de contención adoptadas y las acciones remediales propuestas con su calendario, en congruencia con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persona encargada,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 dicho apoyo incluirá, sin costo adicional, la localización, extracción, rectificación o eliminación de los datos que obren en sistemas bajo control de EL PRESTADOR dentro de los 3 (tres) días hábiles siguientes a la solicitud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 Esta obligación queda sujeta al tope único de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Limitación de Responsabilidad.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Tope general.</w:t>
      </w:r>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sus Anexos y sus Addenda, cualquiera que sea su fundamento, </w:t>
      </w:r>
      <w:r>
        <w:rPr>
          <w:rFonts w:ascii="Liberation Serif" w:cs="Liberation Serif" w:eastAsia="Liberation Serif" w:hAnsi="Liberation Serif"/>
          <w:b/>
          <w:bCs/>
          <w:i w:val="false"/>
          <w:iCs w:val="false"/>
          <w:color w:val="1A1A1A"/>
          <w:sz w:val="22"/>
          <w:szCs w:val="22"/>
        </w:rPr>
        <w:t xml:space="preserve">no excederá, por una sola vez, de la Contraprestación efectivamente pagada por EL CLIENTE a EL PRESTADOR en los 12 (doce) meses anteriores al hecho que dé origen a la reclamación</w:t>
      </w:r>
      <w:r>
        <w:rPr>
          <w:rFonts w:ascii="Liberation Serif" w:cs="Liberation Serif" w:eastAsia="Liberation Serif" w:hAnsi="Liberation Serif"/>
          <w:b w:val="false"/>
          <w:bCs w:val="false"/>
          <w:i w:val="false"/>
          <w:iCs w:val="false"/>
          <w:color w:val="1A1A1A"/>
          <w:sz w:val="22"/>
          <w:szCs w:val="22"/>
        </w:rPr>
        <w:t xml:space="preserve">. Dicho tope es </w:t>
      </w:r>
      <w:r>
        <w:rPr>
          <w:rFonts w:ascii="Liberation Serif" w:cs="Liberation Serif" w:eastAsia="Liberation Serif" w:hAnsi="Liberation Serif"/>
          <w:b/>
          <w:bCs/>
          <w:i w:val="false"/>
          <w:iCs w:val="false"/>
          <w:color w:val="1A1A1A"/>
          <w:sz w:val="22"/>
          <w:szCs w:val="22"/>
        </w:rPr>
        <w:t xml:space="preserve">agregado y no se multiplica</w:t>
      </w:r>
      <w:r>
        <w:rPr>
          <w:rFonts w:ascii="Liberation Serif" w:cs="Liberation Serif" w:eastAsia="Liberation Serif" w:hAnsi="Liberation Serif"/>
          <w:b w:val="false"/>
          <w:bCs w:val="false"/>
          <w:i w:val="false"/>
          <w:iCs w:val="false"/>
          <w:color w:val="1A1A1A"/>
          <w:sz w:val="22"/>
          <w:szCs w:val="22"/>
        </w:rPr>
        <w:t xml:space="preserve"> por el número de reclamaciones, hechos, proyectos, Anexos, Addenda ni Cláusulas involucradas: agotado su monto, cesa toda responsabilidad ulterior de la Parte responsable. </w:t>
      </w:r>
      <w:r>
        <w:rPr>
          <w:rFonts w:ascii="Liberation Serif" w:cs="Liberation Serif" w:eastAsia="Liberation Serif" w:hAnsi="Liberation Serif"/>
          <w:b/>
          <w:bCs/>
          <w:i w:val="false"/>
          <w:iCs w:val="false"/>
          <w:color w:val="1A1A1A"/>
          <w:sz w:val="22"/>
          <w:szCs w:val="22"/>
        </w:rPr>
        <w:t xml:space="preserve">El límite de responsabilidad no reduce, extingue ni condiciona las obligaciones de EL CLIENTE de pagar las contraprestaciones devengadas, el IVA correspondiente, los intereses moratorios, los cargos de stand-by y los gastos cuyo pago proceda conforme a este Contrato.</w:t>
      </w:r>
      <w:r>
        <w:rPr>
          <w:rFonts w:ascii="Liberation Serif" w:cs="Liberation Serif" w:eastAsia="Liberation Serif" w:hAnsi="Liberation Serif"/>
          <w:b w:val="false"/>
          <w:bCs w:val="false"/>
          <w:i w:val="false"/>
          <w:iCs w:val="false"/>
          <w:color w:val="1A1A1A"/>
          <w:sz w:val="22"/>
          <w:szCs w:val="22"/>
        </w:rPr>
        <w:t xml:space="preserve"> Dichas obligaciones de pago son exigibles por su importe íntegro conforme a las Cláusulas Octava, Novena, Décima, Décima Quinta y Vigésima Segunda, según corresponda, y no quedan comprendidas en el tope de esta fracción. </w:t>
      </w:r>
      <w:r>
        <w:rPr>
          <w:rFonts w:ascii="Liberation Serif" w:cs="Liberation Serif" w:eastAsia="Liberation Serif" w:hAnsi="Liberation Serif"/>
          <w:b/>
          <w:bCs/>
          <w:i w:val="false"/>
          <w:iCs w:val="false"/>
          <w:color w:val="1A1A1A"/>
          <w:sz w:val="22"/>
          <w:szCs w:val="22"/>
        </w:rPr>
        <w:t xml:space="preserve">II. Daños excluidos.</w:t>
      </w:r>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r>
        <w:rPr>
          <w:rFonts w:ascii="Liberation Serif" w:cs="Liberation Serif" w:eastAsia="Liberation Serif" w:hAnsi="Liberation Serif"/>
          <w:b/>
          <w:bCs/>
          <w:i w:val="false"/>
          <w:iCs w:val="false"/>
          <w:color w:val="1A1A1A"/>
          <w:sz w:val="22"/>
          <w:szCs w:val="22"/>
        </w:rPr>
        <w:t xml:space="preserve">III. Tope único y universal.</w:t>
      </w:r>
      <w:r>
        <w:rPr>
          <w:rFonts w:ascii="Liberation Serif" w:cs="Liberation Serif" w:eastAsia="Liberation Serif" w:hAnsi="Liberation Serif"/>
          <w:b w:val="false"/>
          <w:bCs w:val="false"/>
          <w:i w:val="false"/>
          <w:iCs w:val="false"/>
          <w:color w:val="1A1A1A"/>
          <w:sz w:val="22"/>
          <w:szCs w:val="22"/>
        </w:rPr>
        <w:t xml:space="preserve"> El tope de la fracción I es </w:t>
      </w:r>
      <w:r>
        <w:rPr>
          <w:rFonts w:ascii="Liberation Serif" w:cs="Liberation Serif" w:eastAsia="Liberation Serif" w:hAnsi="Liberation Serif"/>
          <w:b/>
          <w:bCs/>
          <w:i w:val="false"/>
          <w:iCs w:val="false"/>
          <w:color w:val="1A1A1A"/>
          <w:sz w:val="22"/>
          <w:szCs w:val="22"/>
        </w:rPr>
        <w:t xml:space="preserve">único y aplica a la totalidad de las obligaciones de EL PRESTADOR frente a EL CLIENTE</w:t>
      </w:r>
      <w:r>
        <w:rPr>
          <w:rFonts w:ascii="Liberation Serif" w:cs="Liberation Serif" w:eastAsia="Liberation Serif" w:hAnsi="Liberation Serif"/>
          <w:b w:val="false"/>
          <w:bCs w:val="false"/>
          <w:i w:val="false"/>
          <w:iCs w:val="false"/>
          <w:color w:val="1A1A1A"/>
          <w:sz w:val="22"/>
          <w:szCs w:val="22"/>
        </w:rPr>
        <w:t xml:space="preserve">, cualquiera que sea la Cláusula, el Anexo o el Addendum que las establezca y cualquiera que sea su naturaleza, </w:t>
      </w:r>
      <w:r>
        <w:rPr>
          <w:rFonts w:ascii="Liberation Serif" w:cs="Liberation Serif" w:eastAsia="Liberation Serif" w:hAnsi="Liberation Serif"/>
          <w:b/>
          <w:bCs/>
          <w:i w:val="false"/>
          <w:iCs w:val="false"/>
          <w:color w:val="1A1A1A"/>
          <w:sz w:val="22"/>
          <w:szCs w:val="22"/>
        </w:rPr>
        <w:t xml:space="preserve">incluidas de manera enunciativa y no limitativa</w:t>
      </w:r>
      <w:r>
        <w:rPr>
          <w:rFonts w:ascii="Liberation Serif" w:cs="Liberation Serif" w:eastAsia="Liberation Serif" w:hAnsi="Liberation Serif"/>
          <w:b w:val="false"/>
          <w:bCs w:val="false"/>
          <w:i w:val="false"/>
          <w:iCs w:val="false"/>
          <w:color w:val="1A1A1A"/>
          <w:sz w:val="22"/>
          <w:szCs w:val="22"/>
        </w:rPr>
        <w:t xml:space="preserve"> las obligaciones de indemnización, defensa y mantener indemne, las devoluciones, restituciones y reembolsos de cantidades pagadas, las penas convencionales y las obligaciones de saneamiento. </w:t>
      </w:r>
      <w:r>
        <w:rPr>
          <w:rFonts w:ascii="Liberation Serif" w:cs="Liberation Serif" w:eastAsia="Liberation Serif" w:hAnsi="Liberation Serif"/>
          <w:b/>
          <w:bCs/>
          <w:i w:val="false"/>
          <w:iCs w:val="false"/>
          <w:color w:val="1A1A1A"/>
          <w:sz w:val="22"/>
          <w:szCs w:val="22"/>
        </w:rPr>
        <w:t xml:space="preserve">No existen subtopes, excepciones, carve-outs ni montos adicionales de responsabilidad a cargo de EL PRESTADOR de ninguna clase, salvo los supuestos previstos en la fracción IV de esta Cláusula.</w:t>
      </w:r>
      <w:r>
        <w:rPr>
          <w:rFonts w:ascii="Liberation Serif" w:cs="Liberation Serif" w:eastAsia="Liberation Serif" w:hAnsi="Liberation Serif"/>
          <w:b w:val="false"/>
          <w:bCs w:val="false"/>
          <w:i w:val="false"/>
          <w:iCs w:val="false"/>
          <w:color w:val="1A1A1A"/>
          <w:sz w:val="22"/>
          <w:szCs w:val="22"/>
        </w:rPr>
        <w:t xml:space="preserve"> Lo anterior no afecta la exclusión de las obligaciones de pago de EL CLIENTE prevista en la fracción I. </w:t>
      </w:r>
      <w:r>
        <w:rPr>
          <w:rFonts w:ascii="Liberation Serif" w:cs="Liberation Serif" w:eastAsia="Liberation Serif" w:hAnsi="Liberation Serif"/>
          <w:b/>
          <w:bCs/>
          <w:i w:val="false"/>
          <w:iCs w:val="false"/>
          <w:color w:val="1A1A1A"/>
          <w:sz w:val="22"/>
          <w:szCs w:val="22"/>
        </w:rPr>
        <w:t xml:space="preserve">IV. Excepciones.</w:t>
      </w:r>
      <w:r>
        <w:rPr>
          <w:rFonts w:ascii="Liberation Serif" w:cs="Liberation Serif" w:eastAsia="Liberation Serif" w:hAnsi="Liberation Serif"/>
          <w:b w:val="false"/>
          <w:bCs w:val="false"/>
          <w:i w:val="false"/>
          <w:iCs w:val="false"/>
          <w:color w:val="1A1A1A"/>
          <w:sz w:val="22"/>
          <w:szCs w:val="22"/>
        </w:rPr>
        <w:t xml:space="preserve"> Las limitaciones de esta Cláusula no aplican en casos de </w:t>
      </w:r>
      <w:r>
        <w:rPr>
          <w:rFonts w:ascii="Liberation Serif" w:cs="Liberation Serif" w:eastAsia="Liberation Serif" w:hAnsi="Liberation Serif"/>
          <w:b/>
          <w:bCs/>
          <w:i w:val="false"/>
          <w:iCs w:val="false"/>
          <w:color w:val="1A1A1A"/>
          <w:sz w:val="22"/>
          <w:szCs w:val="22"/>
        </w:rPr>
        <w:t xml:space="preserve">dolo o mala fe</w:t>
      </w:r>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sin perjuicio de la exclusión de las obligaciones de pago de EL CLIENTE prevista en la fracción I. </w:t>
      </w:r>
      <w:r>
        <w:rPr>
          <w:rFonts w:ascii="Liberation Serif" w:cs="Liberation Serif" w:eastAsia="Liberation Serif" w:hAnsi="Liberation Serif"/>
          <w:b/>
          <w:bCs/>
          <w:i w:val="false"/>
          <w:iCs w:val="false"/>
          <w:color w:val="1A1A1A"/>
          <w:sz w:val="22"/>
          <w:szCs w:val="22"/>
        </w:rPr>
        <w:t xml:space="preserve">El dolo o la mala fe deberán acreditarse conforme a la legislación aplicable y no se presumirán por el solo vencimiento de un plazo contractual.</w:t>
      </w:r>
      <w:r>
        <w:rPr>
          <w:rFonts w:ascii="Liberation Serif" w:cs="Liberation Serif" w:eastAsia="Liberation Serif" w:hAnsi="Liberation Serif"/>
          <w:b w:val="false"/>
          <w:bCs w:val="false"/>
          <w:i w:val="false"/>
          <w:iCs w:val="false"/>
          <w:color w:val="1A1A1A"/>
          <w:sz w:val="22"/>
          <w:szCs w:val="22"/>
        </w:rPr>
        <w:t xml:space="preserve"> a) El simple retraso o la falta de entrega de un entregable, del código fuente o de los repositorios en el plazo pactado constituye, cuando sea imputable a EL PRESTADOR, un incumplimiento sujeto al procedimiento de subsanación y a las consecuencias de la Cláusula Décima Quinta. Por sí solo, dicho incumplimiento no hace perder el límite de responsabilidad. Los retrasos derivados de cambios solicitados por EL CLIENTE o de sus actos, omisiones, aportaciones o aprobaciones se rigen por las disposiciones aplicables del Contrato. b) La retención deliberada e injustificada del código fuente, de los repositorios o de los entregables correspondientes a una exhibición efectivamente pagada podrá constituir mala fe cuando ésta se acredite conforme a la legislación aplicable. El aviso de las razones del retraso o la presentación de un plan de remediación no excluyen por sí mismos el dolo o la mala fe que lleguen a acreditarse. </w:t>
      </w:r>
      <w:r>
        <w:rPr>
          <w:rFonts w:ascii="Liberation Serif" w:cs="Liberation Serif" w:eastAsia="Liberation Serif" w:hAnsi="Liberation Serif"/>
          <w:b/>
          <w:bCs/>
          <w:i w:val="false"/>
          <w:iCs w:val="false"/>
          <w:color w:val="1A1A1A"/>
          <w:sz w:val="22"/>
          <w:szCs w:val="22"/>
        </w:rPr>
        <w:t xml:space="preserve">V. Infraestructura de EL CLIENTE.</w:t>
      </w:r>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PRIMERA. Caso Fortuito y Fuerza Mayor.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Regla general.</w:t>
      </w:r>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r>
        <w:rPr>
          <w:rFonts w:ascii="Liberation Serif" w:cs="Liberation Serif" w:eastAsia="Liberation Serif" w:hAnsi="Liberation Serif"/>
          <w:b/>
          <w:bCs/>
          <w:i w:val="false"/>
          <w:iCs w:val="false"/>
          <w:color w:val="1A1A1A"/>
          <w:sz w:val="22"/>
          <w:szCs w:val="22"/>
        </w:rPr>
        <w:t xml:space="preserve">II. Aviso.</w:t>
      </w:r>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r>
        <w:rPr>
          <w:rFonts w:ascii="Liberation Serif" w:cs="Liberation Serif" w:eastAsia="Liberation Serif" w:hAnsi="Liberation Serif"/>
          <w:b/>
          <w:bCs/>
          <w:i w:val="false"/>
          <w:iCs w:val="false"/>
          <w:color w:val="1A1A1A"/>
          <w:sz w:val="22"/>
          <w:szCs w:val="22"/>
        </w:rPr>
        <w:t xml:space="preserve">III. Plataformas de terceros.</w:t>
      </w:r>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r>
        <w:rPr>
          <w:rFonts w:ascii="Liberation Serif" w:cs="Liberation Serif" w:eastAsia="Liberation Serif" w:hAnsi="Liberation Serif"/>
          <w:b/>
          <w:bCs/>
          <w:i w:val="false"/>
          <w:iCs w:val="false"/>
          <w:color w:val="1A1A1A"/>
          <w:sz w:val="22"/>
          <w:szCs w:val="22"/>
        </w:rPr>
        <w:t xml:space="preserve">IV. Plan de continuidad.</w:t>
      </w:r>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Migración entre modelos de lenguaje.</w:t>
      </w:r>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r>
        <w:rPr>
          <w:rFonts w:ascii="Liberation Serif" w:cs="Liberation Serif" w:eastAsia="Liberation Serif" w:hAnsi="Liberation Serif"/>
          <w:b/>
          <w:bCs/>
          <w:i w:val="false"/>
          <w:iCs w:val="false"/>
          <w:color w:val="1A1A1A"/>
          <w:sz w:val="22"/>
          <w:szCs w:val="22"/>
        </w:rPr>
        <w:t xml:space="preserve">dentro de las 48 (cuarenta y ocho) horas siguientes</w:t>
      </w:r>
      <w:r>
        <w:rPr>
          <w:rFonts w:ascii="Liberation Serif" w:cs="Liberation Serif" w:eastAsia="Liberation Serif" w:hAnsi="Liberation Serif"/>
          <w:b w:val="false"/>
          <w:bCs w:val="false"/>
          <w:i w:val="false"/>
          <w:iCs w:val="false"/>
          <w:color w:val="1A1A1A"/>
          <w:sz w:val="22"/>
          <w:szCs w:val="22"/>
        </w:rPr>
        <w:t xml:space="preserve"> a que confirme el evento, sin costo adicional por los trabajos comprendidos en la arquitectura y las integraciones pactadas. El plazo se computará siempre que EL CLIENTE haya proporcionado las cuentas, credenciales, accesos y habilitaciones necesarios y que el modelo de destino esté disponible; la falta de esos elementos suspenderá únicamente el cómputo durante el impedimento correspondiente, que EL PRESTADOR documentará y comunicará a EL CLIENTE. La diferencia de tarifas del nuevo proveedor será cubierta por EL CLIENTE conforme a la Cláusula Décima Cuarta. Los trabajos que impliquen nuevas funcionalidades o integraciones ajenas al alcance se sujetarán al control de cambios de la Cláusula Décima, sin liberar a EL PRESTADOR de sus obligaciones de aviso, monitoreo, escalamiento y continuidad que puedan cumplirse durante el evento. </w:t>
      </w:r>
      <w:r>
        <w:rPr>
          <w:rFonts w:ascii="Liberation Serif" w:cs="Liberation Serif" w:eastAsia="Liberation Serif" w:hAnsi="Liberation Serif"/>
          <w:b/>
          <w:bCs/>
          <w:i w:val="false"/>
          <w:iCs w:val="false"/>
          <w:color w:val="1A1A1A"/>
          <w:sz w:val="22"/>
          <w:szCs w:val="22"/>
        </w:rPr>
        <w:t xml:space="preserve">Plataformas sin sustituto.</w:t>
      </w:r>
      <w:r>
        <w:rPr>
          <w:rFonts w:ascii="Liberation Serif" w:cs="Liberation Serif" w:eastAsia="Liberation Serif" w:hAnsi="Liberation Serif"/>
          <w:b w:val="false"/>
          <w:bCs w:val="false"/>
          <w:i w:val="false"/>
          <w:iCs w:val="false"/>
          <w:color w:val="1A1A1A"/>
          <w:sz w:val="22"/>
          <w:szCs w:val="22"/>
        </w:rPr>
        <w:t xml:space="preserve"> Las Partes reconocen que la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de Meta </w:t>
      </w:r>
      <w:r>
        <w:rPr>
          <w:rFonts w:ascii="Liberation Serif" w:cs="Liberation Serif" w:eastAsia="Liberation Serif" w:hAnsi="Liberation Serif"/>
          <w:b/>
          <w:bCs/>
          <w:i w:val="false"/>
          <w:iCs w:val="false"/>
          <w:color w:val="1A1A1A"/>
          <w:sz w:val="22"/>
          <w:szCs w:val="22"/>
        </w:rPr>
        <w:t xml:space="preserve">no tiene sustituto funcional</w:t>
      </w:r>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r>
        <w:rPr>
          <w:rFonts w:ascii="Liberation Serif" w:cs="Liberation Serif" w:eastAsia="Liberation Serif" w:hAnsi="Liberation Serif"/>
          <w:b/>
          <w:bCs/>
          <w:i w:val="false"/>
          <w:iCs w:val="false"/>
          <w:color w:val="1A1A1A"/>
          <w:sz w:val="22"/>
          <w:szCs w:val="22"/>
        </w:rPr>
        <w:t xml:space="preserve">V. Efectos.</w:t>
      </w:r>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únicamente por los Servicios efectivamente no prestados durante la afectación, conforme al desglose aplicable de la Cláusula Octava, Sección VI, y al periodo de afectación documentado. La suspensión no alcanza los Servicios que continúen prestándose, incluidos los de soporte, monitoreo o contingencia que correspondan, ni las contraprestaciones devengadas antes del evento.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 respecto de la ejecución de cada proyecto, concluye con la aprobación expresa o la aceptación tácita de sus entregables conforme a la Cláusula Décima, sin perjuicio de las obligaciones de pago, estabilización, garantía y demás obligaciones que deban subsistir conforme al Contrato; la iguala se rige por su plazo mínimo de 6 (seis) meses, por su terminación con </w:t>
      </w:r>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previsto en la Cláusula Sexta. EL CLIENTE podrá terminar sin causa el Contrato o cualquiera de sus proyectos con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En caso de terminación sin causa, EL CLIENTE pagará los Servicios efectivamente prestados hasta la fecha efectiva de terminación, valuados conforme a los hitos y valores por etapa del Anexo Dos, Sección I.4, para el Proyecto A, o conforme a los entregables identificados en su Addendum y su valuación de la Cláusula Octava, Sección VI, para los Proyectos B y C, incluidas las piezas cuya entrega esté programada dentro de los 15 (quince) días naturales siguientes a la notificación, más los compromisos no cancelables con terceros asumidos para el proyecto y debidamente documentados; 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ese pago</w:t>
      </w:r>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 Esta regla aplica igualmente a los Proyectos B y C que se hubieren activado.</w:t>
      </w:r>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cuando no haya sido rescindida o terminada conforme a su propio régimen, que continuará rigiéndose por el plazo mínimo, la renovación automática y la cancelación de la Cláusula Sexta; la supervivencia de este inciso no reactiva una iguala que ya haya terminado ni obliga a prestar servicios recurrentes después de su terminación efectiva;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cualquiera de las Partes a sus subsidiarias, filiales o sociedades bajo control común, con aviso previo por escrito y sin que la cedente quede liberada.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 Las autorizaciones de horas adicionales, las órdenes de trabajo y los ajustes operativos que el propio Contrato permita aprobar por escrito se tramitarán por esa vía, sin que por sí solos modifiquen las demás condiciones del Contrato. Un Addendum o convenio posterior sólo modificará una disposición del cuerpo del Contrato cuando identifique expresamente la disposición sustituida y la modificación y sea suscrito por ambas Partes.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el cuerpo del Contrato, salvo la modificación expresa posterior suscrita por ambas Partes en los términos del inciso d).</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g) </w:t>
      </w:r>
      <w:r>
        <w:rPr>
          <w:rFonts w:ascii="Liberation Serif" w:cs="Liberation Serif" w:eastAsia="Liberation Serif" w:hAnsi="Liberation Serif"/>
          <w:b/>
          <w:bCs/>
          <w:i w:val="false"/>
          <w:iCs w:val="false"/>
          <w:color w:val="1A1A1A"/>
          <w:sz w:val="22"/>
          <w:szCs w:val="22"/>
        </w:rPr>
        <w:t xml:space="preserve">No captación de personal.</w:t>
      </w:r>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 h) </w:t>
      </w:r>
      <w:r>
        <w:rPr>
          <w:rFonts w:ascii="Liberation Serif" w:cs="Liberation Serif" w:eastAsia="Liberation Serif" w:hAnsi="Liberation Serif"/>
          <w:b/>
          <w:bCs/>
          <w:i w:val="false"/>
          <w:iCs w:val="false"/>
          <w:color w:val="1A1A1A"/>
          <w:sz w:val="22"/>
          <w:szCs w:val="22"/>
        </w:rPr>
        <w:t xml:space="preserve">Divisibilidad.</w:t>
      </w:r>
      <w:r>
        <w:rPr>
          <w:rFonts w:ascii="Liberation Serif" w:cs="Liberation Serif" w:eastAsia="Liberation Serif" w:hAnsi="Liberation Serif"/>
          <w:b w:val="false"/>
          <w:bCs w:val="false"/>
          <w:i w:val="false"/>
          <w:iCs w:val="false"/>
          <w:color w:val="1A1A1A"/>
          <w:sz w:val="22"/>
          <w:szCs w:val="22"/>
        </w:rPr>
        <w:t xml:space="preserve"> Si alguna disposición de este Contrato, de sus Anexos o de sus Addenda fuere declarada inválida, nula o inexigible por autoridad competente, las demás conservarán plena validez y la disposición afectada se entenderá sustituida por aquella válida que refleje de la manera más cercana la intención original de las Partes. </w:t>
      </w:r>
      <w:r>
        <w:rPr>
          <w:rFonts w:ascii="Liberation Serif" w:cs="Liberation Serif" w:eastAsia="Liberation Serif" w:hAnsi="Liberation Serif"/>
          <w:b/>
          <w:bCs/>
          <w:i w:val="false"/>
          <w:iCs w:val="false"/>
          <w:color w:val="1A1A1A"/>
          <w:sz w:val="22"/>
          <w:szCs w:val="22"/>
        </w:rPr>
        <w:t xml:space="preserve">Si el tope de la Cláusula Vigésima resultare inaplicable a una reclamación determinada, subsistirá respecto de las demás y se aplicará el monto máximo que resulte válido conforme a la legislación aplicable.</w:t>
      </w:r>
      <w:r>
        <w:rPr>
          <w:rFonts w:ascii="Liberation Serif" w:cs="Liberation Serif" w:eastAsia="Liberation Serif" w:hAnsi="Liberation Serif"/>
          <w:b w:val="false"/>
          <w:bCs w:val="false"/>
          <w:i w:val="false"/>
          <w:iCs w:val="false"/>
          <w:color w:val="1A1A1A"/>
          <w:sz w:val="22"/>
          <w:szCs w:val="22"/>
        </w:rPr>
        <w:t xml:space="preserve"> i) </w:t>
      </w:r>
      <w:r>
        <w:rPr>
          <w:rFonts w:ascii="Liberation Serif" w:cs="Liberation Serif" w:eastAsia="Liberation Serif" w:hAnsi="Liberation Serif"/>
          <w:b/>
          <w:bCs/>
          <w:i w:val="false"/>
          <w:iCs w:val="false"/>
          <w:color w:val="1A1A1A"/>
          <w:sz w:val="22"/>
          <w:szCs w:val="22"/>
        </w:rPr>
        <w:t xml:space="preserve">No renuncia de derechos.</w:t>
      </w:r>
      <w:r>
        <w:rPr>
          <w:rFonts w:ascii="Liberation Serif" w:cs="Liberation Serif" w:eastAsia="Liberation Serif" w:hAnsi="Liberation Serif"/>
          <w:b w:val="false"/>
          <w:bCs w:val="false"/>
          <w:i w:val="false"/>
          <w:iCs w:val="false"/>
          <w:color w:val="1A1A1A"/>
          <w:sz w:val="22"/>
          <w:szCs w:val="22"/>
        </w:rPr>
        <w:t xml:space="preserve"> La falta de ejercicio o el ejercicio tardío de cualquier derecho, facultad o recurso previsto en este Contrato no constituye renuncia a él, ni impide su ejercicio posterior; la renuncia a un derecho sólo surte efectos cuando conste por escrito, se refiera a un caso concreto y no se extiende a incumplimientos ulteriores. j) </w:t>
      </w:r>
      <w:r>
        <w:rPr>
          <w:rFonts w:ascii="Liberation Serif" w:cs="Liberation Serif" w:eastAsia="Liberation Serif" w:hAnsi="Liberation Serif"/>
          <w:b/>
          <w:bCs/>
          <w:i w:val="false"/>
          <w:iCs w:val="false"/>
          <w:color w:val="1A1A1A"/>
          <w:sz w:val="22"/>
          <w:szCs w:val="22"/>
        </w:rPr>
        <w:t xml:space="preserve">Ejemplares y firma electrónica.</w:t>
      </w:r>
      <w:r>
        <w:rPr>
          <w:rFonts w:ascii="Liberation Serif" w:cs="Liberation Serif" w:eastAsia="Liberation Serif" w:hAnsi="Liberation Serif"/>
          <w:b w:val="false"/>
          <w:bCs w:val="false"/>
          <w:i w:val="false"/>
          <w:iCs w:val="false"/>
          <w:color w:val="1A1A1A"/>
          <w:sz w:val="22"/>
          <w:szCs w:val="22"/>
        </w:rPr>
        <w:t xml:space="preserve"> El Contrato, sus Anexos y sus Addenda podrán suscribirse en uno o más ejemplares y mediante </w:t>
      </w:r>
      <w:r>
        <w:rPr>
          <w:rFonts w:ascii="Liberation Serif" w:cs="Liberation Serif" w:eastAsia="Liberation Serif" w:hAnsi="Liberation Serif"/>
          <w:b/>
          <w:bCs/>
          <w:i w:val="false"/>
          <w:iCs w:val="false"/>
          <w:color w:val="1A1A1A"/>
          <w:sz w:val="22"/>
          <w:szCs w:val="22"/>
        </w:rPr>
        <w:t xml:space="preserve">firma electrónica o digital</w:t>
      </w:r>
      <w:r>
        <w:rPr>
          <w:rFonts w:ascii="Liberation Serif" w:cs="Liberation Serif" w:eastAsia="Liberation Serif" w:hAnsi="Liberation Serif"/>
          <w:b w:val="false"/>
          <w:bCs w:val="false"/>
          <w:i w:val="false"/>
          <w:iCs w:val="false"/>
          <w:color w:val="1A1A1A"/>
          <w:sz w:val="22"/>
          <w:szCs w:val="22"/>
        </w:rPr>
        <w:t xml:space="preserve">, cada uno de los cuales se tendrá por original y todos juntos por un mismo instrumento, con el mismo valor probatorio que la firma autógrafa.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Partes señalan como sus domicilios los siguientes: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w:t>
      </w:r>
      <w:r>
        <w:rPr>
          <w:rFonts w:ascii="Liberation Serif" w:cs="Liberation Serif" w:eastAsia="Liberation Serif" w:hAnsi="Liberation Serif"/>
          <w:b/>
          <w:bCs/>
          <w:i w:val="false"/>
          <w:iCs w:val="false"/>
          <w:color w:val="1A1A1A"/>
          <w:sz w:val="22"/>
          <w:szCs w:val="22"/>
        </w:rPr>
        <w:t xml:space="preserve">Su recepción podrá acreditarse mediante confirmación expresa del destinatario o constancia electrónica de entrega al servidor de destino; la falta de respuesta o de confirmación manual no impedirá sus efectos cuando exista dicha constancia.</w:t>
      </w:r>
      <w:r>
        <w:rPr>
          <w:rFonts w:ascii="Liberation Serif" w:cs="Liberation Serif" w:eastAsia="Liberation Serif" w:hAnsi="Liberation Serif"/>
          <w:b w:val="false"/>
          <w:bCs w:val="false"/>
          <w:i w:val="false"/>
          <w:iCs w:val="false"/>
          <w:color w:val="1A1A1A"/>
          <w:sz w:val="22"/>
          <w:szCs w:val="22"/>
        </w:rPr>
        <w:t xml:space="preserve"> Los avisos de aprobación y observaciones surtirán efectos el día hábil de su recepción acreditada o el día hábil siguiente si ésta ocurre en un día inhábil. Los 6 (seis) días hábiles de revisión de la Cláusula Décima se contarán a partir del día hábil siguiente a esa recepción. Los avisos de incidencias y vulneraciones se sujetarán al cómputo continuo o hábil expresamente previsto para ellos. Los avisos de rescisión, terminación y modificación del Contrato se realizarán personalmente, por mensajería especializada con acuse de recibo o por conducto de fedatario público, y surtirán efectos en la fecha de su recepción. Los avisos de caso fortuito o fuerza mayor podrán realizarse por esos medios o por correo electrónico con recepción acreditada en los términos anteriores, dentro de los plazos de la Cláusula Vigésima Primera. El aviso de un cambio o la comunicación de su impacto por correo no sustituyen el convenio modificatorio cuando éste sea exigible conforme al Contrato. Cualquier cambio de domicilio deberá notificarse con 10 (diez) días naturales de anticipación; de no ser así, las notificaciones realizadas en los domicilios señalados se tendrán por efectivamente realizadas.</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cuyo desarrollo dentro del alcance pactado no altera por sí mismo el precio ni el plazo, sin perjuicio del control de cambios y de las extensiones que procedan conforme al Contrato: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 Si durante ese procedimiento se identifica una funcionalidad, integración o trabajo no comprendido en el alcance pactado, se aplicará la Cláusula Décima antes de su ejecución. La aceptación de tecnologías equivalentes o similares no obliga a EL PRESTADOR a desarrollar nuevas funcionalidades ni a suplir, sin el control de cambios correspondiente, datos o servicios que EL CLIENTE deba proporcionar y que su API o exportación equivalente no permita obtener. Las aportaciones no entregadas y las diferencias imputables a EL CLIENTE se regirán por las Cláusulas Décima, Décima Tercera y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 </w:t>
      </w:r>
      <w:r>
        <w:rPr>
          <w:rFonts w:ascii="Liberation Serif" w:cs="Liberation Serif" w:eastAsia="Liberation Serif" w:hAnsi="Liberation Serif"/>
          <w:b/>
          <w:bCs/>
          <w:i w:val="false"/>
          <w:iCs w:val="false"/>
          <w:color w:val="1A1A1A"/>
          <w:sz w:val="22"/>
          <w:szCs w:val="22"/>
        </w:rPr>
        <w:t xml:space="preserve">con el número de membresía y el teléfono del nuevo socio</w:t>
      </w:r>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Cancelación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número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fecha de cancelación</w:t>
      </w:r>
      <w:r>
        <w:rPr>
          <w:rFonts w:ascii="Liberation Serif" w:cs="Liberation Serif" w:eastAsia="Liberation Serif" w:hAnsi="Liberation Serif"/>
          <w:b w:val="false"/>
          <w:bCs w:val="false"/>
          <w:i w:val="false"/>
          <w:iCs w:val="false"/>
          <w:color w:val="1A1A1A"/>
          <w:sz w:val="22"/>
          <w:szCs w:val="22"/>
        </w:rPr>
        <w:t xml:space="preserve"> y, cuando el CRM lo registre, </w:t>
      </w:r>
      <w:r>
        <w:rPr>
          <w:rFonts w:ascii="Liberation Serif" w:cs="Liberation Serif" w:eastAsia="Liberation Serif" w:hAnsi="Liberation Serif"/>
          <w:b/>
          <w:bCs/>
          <w:i w:val="false"/>
          <w:iCs w:val="false"/>
          <w:color w:val="1A1A1A"/>
          <w:sz w:val="22"/>
          <w:szCs w:val="22"/>
        </w:rPr>
        <w:t xml:space="preserve">motivo de la cancelación</w:t>
      </w:r>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r>
        <w:rPr>
          <w:rFonts w:ascii="Liberation Serif" w:cs="Liberation Serif" w:eastAsia="Liberation Serif" w:hAnsi="Liberation Serif"/>
          <w:b w:val="false"/>
          <w:bCs w:val="false"/>
          <w:i/>
          <w:iCs/>
          <w:color w:val="1A1A1A"/>
          <w:sz w:val="22"/>
          <w:szCs w:val="22"/>
        </w:rPr>
        <w:t xml:space="preserve">Vía alternativa para el dato de membresías nuevas</w:t>
      </w:r>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r>
        <w:rPr>
          <w:rFonts w:ascii="Liberation Serif" w:cs="Liberation Serif" w:eastAsia="Liberation Serif" w:hAnsi="Liberation Serif"/>
          <w:b/>
          <w:bCs/>
          <w:i w:val="false"/>
          <w:iCs w:val="false"/>
          <w:color w:val="1A1A1A"/>
          <w:sz w:val="22"/>
          <w:szCs w:val="22"/>
        </w:rPr>
        <w:t xml:space="preserve">medición de retención</w:t>
      </w:r>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Frecuencia de actualización.</w:t>
      </w:r>
      <w:r>
        <w:rPr>
          <w:rFonts w:ascii="Liberation Serif" w:cs="Liberation Serif" w:eastAsia="Liberation Serif" w:hAnsi="Liberation Serif"/>
          <w:b w:val="false"/>
          <w:bCs w:val="false"/>
          <w:i w:val="false"/>
          <w:iCs w:val="false"/>
          <w:color w:val="1A1A1A"/>
          <w:sz w:val="20"/>
          <w:szCs w:val="20"/>
        </w:rPr>
        <w:t xml:space="preserve"> La totalidad del catálogo —</w:t>
      </w:r>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r>
        <w:rPr>
          <w:rFonts w:ascii="Liberation Serif" w:cs="Liberation Serif" w:eastAsia="Liberation Serif" w:hAnsi="Liberation Serif"/>
          <w:b w:val="false"/>
          <w:bCs w:val="false"/>
          <w:i w:val="false"/>
          <w:iCs w:val="false"/>
          <w:color w:val="1A1A1A"/>
          <w:sz w:val="20"/>
          <w:szCs w:val="20"/>
        </w:rPr>
        <w:t xml:space="preserve">— se sincroniza </w:t>
      </w:r>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r>
        <w:rPr>
          <w:rFonts w:ascii="Liberation Serif" w:cs="Liberation Serif" w:eastAsia="Liberation Serif" w:hAnsi="Liberation Serif"/>
          <w:b w:val="false"/>
          <w:bCs w:val="false"/>
          <w:i w:val="false"/>
          <w:iCs w:val="false"/>
          <w:color w:val="1A1A1A"/>
          <w:sz w:val="20"/>
          <w:szCs w:val="20"/>
        </w:rPr>
        <w:t xml:space="preserve">. Lo registrado en el CRM hasta las </w:t>
      </w:r>
      <w:r>
        <w:rPr>
          <w:rFonts w:ascii="Liberation Serif" w:cs="Liberation Serif" w:eastAsia="Liberation Serif" w:hAnsi="Liberation Serif"/>
          <w:b/>
          <w:bCs/>
          <w:i w:val="false"/>
          <w:iCs w:val="false"/>
          <w:color w:val="1A1A1A"/>
          <w:sz w:val="20"/>
          <w:szCs w:val="20"/>
        </w:rPr>
        <w:t xml:space="preserve">05:59</w:t>
      </w:r>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r>
        <w:rPr>
          <w:rFonts w:ascii="Liberation Serif" w:cs="Liberation Serif" w:eastAsia="Liberation Serif" w:hAnsi="Liberation Serif"/>
          <w:b/>
          <w:bCs/>
          <w:i w:val="false"/>
          <w:iCs w:val="false"/>
          <w:color w:val="1A1A1A"/>
          <w:sz w:val="20"/>
          <w:szCs w:val="20"/>
        </w:rPr>
        <w:t xml:space="preserve">sincronización manual inmediata</w:t>
      </w:r>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r>
        <w:rPr>
          <w:rFonts w:ascii="Liberation Serif" w:cs="Liberation Serif" w:eastAsia="Liberation Serif" w:hAnsi="Liberation Serif"/>
          <w:b/>
          <w:bCs/>
          <w:i w:val="false"/>
          <w:iCs w:val="false"/>
          <w:color w:val="1A1A1A"/>
          <w:sz w:val="20"/>
          <w:szCs w:val="20"/>
        </w:rPr>
        <w:t xml:space="preserve">únicamente</w:t>
      </w:r>
      <w:r>
        <w:rPr>
          <w:rFonts w:ascii="Liberation Serif" w:cs="Liberation Serif" w:eastAsia="Liberation Serif" w:hAnsi="Liberation Serif"/>
          <w:b w:val="false"/>
          <w:bCs w:val="false"/>
          <w:i w:val="false"/>
          <w:iCs w:val="false"/>
          <w:color w:val="1A1A1A"/>
          <w:sz w:val="20"/>
          <w:szCs w:val="20"/>
        </w:rPr>
        <w:t xml:space="preserve"> para la </w:t>
      </w:r>
      <w:r>
        <w:rPr>
          <w:rFonts w:ascii="Liberation Serif" w:cs="Liberation Serif" w:eastAsia="Liberation Serif" w:hAnsi="Liberation Serif"/>
          <w:b/>
          <w:bCs/>
          <w:i w:val="false"/>
          <w:iCs w:val="false"/>
          <w:color w:val="1A1A1A"/>
          <w:sz w:val="20"/>
          <w:szCs w:val="20"/>
        </w:rPr>
        <w:t xml:space="preserve">escritura del prospecto</w:t>
      </w:r>
      <w:r>
        <w:rPr>
          <w:rFonts w:ascii="Liberation Serif" w:cs="Liberation Serif" w:eastAsia="Liberation Serif" w:hAnsi="Liberation Serif"/>
          <w:b w:val="false"/>
          <w:bCs w:val="false"/>
          <w:i w:val="false"/>
          <w:iCs w:val="false"/>
          <w:color w:val="1A1A1A"/>
          <w:sz w:val="20"/>
          <w:szCs w:val="20"/>
        </w:rPr>
        <w:t xml:space="preserve"> (Bloque B).</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Dicha base </w:t>
      </w:r>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r>
        <w:rPr>
          <w:rFonts w:ascii="Liberation Serif" w:cs="Liberation Serif" w:eastAsia="Liberation Serif" w:hAnsi="Liberation Serif"/>
          <w:b w:val="false"/>
          <w:bCs w:val="false"/>
          <w:i w:val="false"/>
          <w:iCs w:val="false"/>
          <w:color w:val="1A1A1A"/>
          <w:sz w:val="20"/>
          <w:szCs w:val="20"/>
        </w:rPr>
        <w:t xml:space="preserve">. La conciliación se realiza por </w:t>
      </w:r>
      <w:r>
        <w:rPr>
          <w:rFonts w:ascii="Liberation Serif" w:cs="Liberation Serif" w:eastAsia="Liberation Serif" w:hAnsi="Liberation Serif"/>
          <w:b/>
          <w:bCs/>
          <w:i w:val="false"/>
          <w:iCs w:val="false"/>
          <w:color w:val="1A1A1A"/>
          <w:sz w:val="20"/>
          <w:szCs w:val="20"/>
        </w:rPr>
        <w:t xml:space="preserve">nombre, apellido, teléfono y club</w:t>
      </w:r>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 y los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(No se solicita.)</w:t>
      </w:r>
      <w:r>
        <w:rPr>
          <w:rFonts w:ascii="Liberation Serif" w:cs="Liberation Serif" w:eastAsia="Liberation Serif" w:hAnsi="Liberation Serif"/>
          <w:b w:val="false"/>
          <w:bCs w:val="false"/>
          <w:i w:val="false"/>
          <w:iCs w:val="false"/>
          <w:color w:val="1A1A1A"/>
          <w:sz w:val="22"/>
          <w:szCs w:val="22"/>
        </w:rPr>
        <w:t xml:space="preserve"> El proyecto </w:t>
      </w:r>
      <w:r>
        <w:rPr>
          <w:rFonts w:ascii="Liberation Serif" w:cs="Liberation Serif" w:eastAsia="Liberation Serif" w:hAnsi="Liberation Serif"/>
          <w:b/>
          <w:bCs/>
          <w:i w:val="false"/>
          <w:iCs w:val="false"/>
          <w:color w:val="1A1A1A"/>
          <w:sz w:val="22"/>
          <w:szCs w:val="22"/>
        </w:rPr>
        <w:t xml:space="preserve">no requiere un punto de acceso de consulta de socios</w:t>
      </w:r>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D.2 y 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E.10</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Médico designado</w:t>
      </w:r>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r>
        <w:rPr>
          <w:rFonts w:ascii="Liberation Serif" w:cs="Liberation Serif" w:eastAsia="Liberation Serif" w:hAnsi="Liberation Serif"/>
          <w:b w:val="false"/>
          <w:bCs w:val="false"/>
          <w:i w:val="false"/>
          <w:iCs w:val="false"/>
          <w:color w:val="1A1A1A"/>
          <w:sz w:val="22"/>
          <w:szCs w:val="22"/>
        </w:rPr>
        <w:t xml:space="preserve"> La ausencia del médico designado o de su revisión no impide la aprobación final del proyecto: la publicación del hub se diferirá hasta contar con la revisión y firma previstas en este requerimiento, sin afectar los KPIs comprometidos ni la aprobación y exigibilidad de pago de los demás entregables. El descargo médico general no sustituye la revisión y firma aquí pactadas.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 de cómputo, memoria, almacenamiento y ancho de banda</w:t>
      </w:r>
      <w:r>
        <w:rPr>
          <w:rFonts w:ascii="Liberation Serif" w:cs="Liberation Serif" w:eastAsia="Liberation Serif" w:hAnsi="Liberation Serif"/>
          <w:b w:val="false"/>
          <w:bCs w:val="false"/>
          <w:i w:val="false"/>
          <w:iCs w:val="false"/>
          <w:color w:val="1A1A1A"/>
          <w:sz w:val="22"/>
          <w:szCs w:val="22"/>
        </w:rPr>
        <w:t xml:space="preserve"> conforme a la especificación del documento </w:t>
      </w:r>
      <w:r>
        <w:rPr>
          <w:rFonts w:ascii="Liberation Serif" w:cs="Liberation Serif" w:eastAsia="Liberation Serif" w:hAnsi="Liberation Serif"/>
          <w:b w:val="false"/>
          <w:bCs w:val="false"/>
          <w:i/>
          <w:iCs/>
          <w:color w:val="1A1A1A"/>
          <w:sz w:val="22"/>
          <w:szCs w:val="22"/>
        </w:rPr>
        <w:t xml:space="preserve">Plan de Ejecución, Sección 4</w:t>
      </w:r>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r>
        <w:rPr>
          <w:rFonts w:ascii="Liberation Serif" w:cs="Liberation Serif" w:eastAsia="Liberation Serif" w:hAnsi="Liberation Serif"/>
          <w:b/>
          <w:bCs/>
          <w:i w:val="false"/>
          <w:iCs w:val="false"/>
          <w:color w:val="1A1A1A"/>
          <w:sz w:val="22"/>
          <w:szCs w:val="22"/>
        </w:rPr>
        <w:t xml:space="preserve">única</w:t>
      </w:r>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 Las fechas límite expresamente establecidas en este Anexo prevalecerán. Cuando un requerimiento no tenga una fecha límite determinada, las Partes la precisarán por escrito en esta misma cédula conforme al cronograma y antes de la actividad que dependa de su entrega. El stand-by sólo podrá causarse después del vencimiento de la fecha así identificada y de la franquicia de la Cláusula Décima Quinta, cuando la falta de la aportación impida efectivamente avanzar al equipo. La cédula no amplía el listado de aportaciones ni modifica el alcance del Contrato.</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6866"/>
            <w:tcMar>
              <w:top w:type="dxa" w:w="60"/>
              <w:left w:type="dxa" w:w="90"/>
              <w:bottom w:type="dxa" w:w="60"/>
              <w:right w:type="dxa" w:w="90"/>
            </w:tcMar>
            <w:vAlign w:val="top"/>
          </w:tcPr>
          <w:p>
            <w:pPr>
              <w:spacing w:after="0" w:line="252"/>
            </w:pPr>
            <w:r>
              <w:rPr>
                <w:sz w:val="19"/>
                <w:szCs w:val="19"/>
              </w:rPr>
              <w:t xml:space="preserve"/>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r>
        <w:rPr>
          <w:rFonts w:ascii="Liberation Serif" w:cs="Liberation Serif" w:eastAsia="Liberation Serif" w:hAnsi="Liberation Serif"/>
          <w:b/>
          <w:bCs/>
          <w:i w:val="false"/>
          <w:iCs w:val="false"/>
          <w:color w:val="1A1A1A"/>
          <w:sz w:val="22"/>
          <w:szCs w:val="22"/>
        </w:rPr>
        <w:t xml:space="preserve">Clubes adicionales.</w:t>
      </w:r>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r>
        <w:rPr>
          <w:rFonts w:ascii="Liberation Serif" w:cs="Liberation Serif" w:eastAsia="Liberation Serif" w:hAnsi="Liberation Serif"/>
          <w:b/>
          <w:bCs/>
          <w:i w:val="false"/>
          <w:iCs w:val="false"/>
          <w:color w:val="1A1A1A"/>
          <w:sz w:val="22"/>
          <w:szCs w:val="22"/>
        </w:rPr>
        <w:t xml:space="preserve">schema</w:t>
      </w:r>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orden de trabajo aprobada por escrito</w:t>
      </w:r>
      <w:r>
        <w:rPr>
          <w:rFonts w:ascii="Liberation Serif" w:cs="Liberation Serif" w:eastAsia="Liberation Serif" w:hAnsi="Liberation Serif"/>
          <w:b w:val="false"/>
          <w:bCs w:val="false"/>
          <w:i w:val="false"/>
          <w:iCs w:val="false"/>
          <w:color w:val="1A1A1A"/>
          <w:sz w:val="22"/>
          <w:szCs w:val="22"/>
        </w:rPr>
        <w:t xml:space="preserve">, sin necesidad de convenio modificatorio. </w:t>
      </w:r>
      <w:r>
        <w:rPr>
          <w:rFonts w:ascii="Liberation Serif" w:cs="Liberation Serif" w:eastAsia="Liberation Serif" w:hAnsi="Liberation Serif"/>
          <w:b/>
          <w:bCs/>
          <w:i w:val="false"/>
          <w:iCs w:val="false"/>
          <w:color w:val="1A1A1A"/>
          <w:sz w:val="22"/>
          <w:szCs w:val="22"/>
        </w:rPr>
        <w:t xml:space="preserve">Su ejecución se cotiza en horas:</w:t>
      </w:r>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r>
        <w:rPr>
          <w:rFonts w:ascii="Liberation Serif" w:cs="Liberation Serif" w:eastAsia="Liberation Serif" w:hAnsi="Liberation Serif"/>
          <w:b/>
          <w:bCs/>
          <w:i w:val="false"/>
          <w:iCs w:val="false"/>
          <w:color w:val="1A1A1A"/>
          <w:sz w:val="22"/>
          <w:szCs w:val="22"/>
        </w:rPr>
        <w:t xml:space="preserve">primero contra la bolsa de mejora disponible en el mes</w:t>
      </w:r>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r>
        <w:rPr>
          <w:rFonts w:ascii="Liberation Serif" w:cs="Liberation Serif" w:eastAsia="Liberation Serif" w:hAnsi="Liberation Serif"/>
          <w:b/>
          <w:bCs/>
          <w:i w:val="false"/>
          <w:iCs w:val="false"/>
          <w:color w:val="1A1A1A"/>
          <w:sz w:val="22"/>
          <w:szCs w:val="22"/>
        </w:rPr>
        <w:t xml:space="preserve">La bolsa de mejora no es acumulable de un mes a otro</w:t>
      </w:r>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 coordinación con el médico designado por EL CLIENTE conforme al Anexo Uno, E.10, para la firma del hub “Bajar de Peso”; configuración de Google Search Console y GA4; y reporte ejecutivo semanal.</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 comprometidas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r>
        <w:rPr>
          <w:rFonts w:ascii="Liberation Serif" w:cs="Liberation Serif" w:eastAsia="Liberation Serif" w:hAnsi="Liberation Serif"/>
          <w:b/>
          <w:bCs/>
          <w:i w:val="false"/>
          <w:iCs w:val="false"/>
          <w:color w:val="1A1A1A"/>
          <w:sz w:val="22"/>
          <w:szCs w:val="22"/>
        </w:rPr>
        <w:t xml:space="preserve">etapas de instrumentación operativa</w:t>
      </w:r>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r>
        <w:rPr>
          <w:rFonts w:ascii="Liberation Serif" w:cs="Liberation Serif" w:eastAsia="Liberation Serif" w:hAnsi="Liberation Serif"/>
          <w:b/>
          <w:bCs/>
          <w:i w:val="false"/>
          <w:iCs w:val="false"/>
          <w:color w:val="1A1A1A"/>
          <w:sz w:val="22"/>
          <w:szCs w:val="22"/>
        </w:rPr>
        <w:t xml:space="preserve">no amplían el alcance ni los KPIs comprometidos</w:t>
      </w:r>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r>
        <w:rPr>
          <w:rFonts w:ascii="Liberation Serif" w:cs="Liberation Serif" w:eastAsia="Liberation Serif" w:hAnsi="Liberation Serif"/>
          <w:b w:val="false"/>
          <w:bCs w:val="false"/>
          <w:i/>
          <w:iCs/>
          <w:color w:val="1A1A1A"/>
          <w:sz w:val="22"/>
          <w:szCs w:val="22"/>
        </w:rPr>
        <w:t xml:space="preserve">Mapa del Funnel</w:t>
      </w:r>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del </w:t>
      </w:r>
      <w:r>
        <w:rPr>
          <w:rFonts w:ascii="Liberation Serif" w:cs="Liberation Serif" w:eastAsia="Liberation Serif" w:hAnsi="Liberation Serif"/>
          <w:b/>
          <w:bCs/>
          <w:i w:val="false"/>
          <w:iCs w:val="false"/>
          <w:color w:val="1A1A1A"/>
          <w:sz w:val="22"/>
          <w:szCs w:val="22"/>
        </w:rPr>
        <w:t xml:space="preserve">Periodo de Estabilización de 6 (seis) semanas</w:t>
      </w:r>
      <w:r>
        <w:rPr>
          <w:rFonts w:ascii="Liberation Serif" w:cs="Liberation Serif" w:eastAsia="Liberation Serif" w:hAnsi="Liberation Serif"/>
          <w:b w:val="false"/>
          <w:bCs w:val="false"/>
          <w:i w:val="false"/>
          <w:iCs w:val="false"/>
          <w:color w:val="1A1A1A"/>
          <w:sz w:val="22"/>
          <w:szCs w:val="22"/>
        </w:rPr>
        <w:t xml:space="preserve"> (Cláusula Primera y Anexo Cinco, apartado V) con atención reforzada y corrección de los defectos respecto de las especificaciones de este Anexo y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10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57"/>
        <w:gridCol w:w="1752"/>
        <w:gridCol w:w="1313"/>
        <w:gridCol w:w="1313"/>
        <w:gridCol w:w="3723"/>
      </w:tblGrid>
      <w:tr>
        <w:trPr>
          <w:cantSplit/>
          <w:tblHeader/>
        </w:trPr>
        <w:tc>
          <w:tcPr>
            <w:tcW w:type="dxa" w:w="12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75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7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Valor de etapa (para efectos de la Cláusula Décima)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3</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5</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9</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10</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w:t>
      </w:r>
      <w:r>
        <w:rPr>
          <w:rFonts w:ascii="Liberation Serif" w:cs="Liberation Serif" w:eastAsia="Liberation Serif" w:hAnsi="Liberation Serif"/>
          <w:b/>
          <w:bCs/>
          <w:i w:val="false"/>
          <w:iCs w:val="false"/>
          <w:color w:val="1A1A1A"/>
          <w:sz w:val="22"/>
          <w:szCs w:val="22"/>
        </w:rPr>
        <w:t xml:space="preserve">El cronograma de 10 (diez) semanas comprende las etapas previas y el Lanzamiento en Firme; la revisión de la Aprobación 4 se contará desde su entrega y podrá concluir después de la Semana 10.</w:t>
      </w:r>
      <w:r>
        <w:rPr>
          <w:rFonts w:ascii="Liberation Serif" w:cs="Liberation Serif" w:eastAsia="Liberation Serif" w:hAnsi="Liberation Serif"/>
          <w:b w:val="false"/>
          <w:bCs w:val="false"/>
          <w:i w:val="false"/>
          <w:iCs w:val="false"/>
          <w:color w:val="1A1A1A"/>
          <w:sz w:val="22"/>
          <w:szCs w:val="22"/>
        </w:rPr>
        <w:t xml:space="preserve"> El momento de presentación de cada entrega y el vencimiento de su revisión se documentarán conforme a la Cláusula Vigésima Cuarta. Si la revisión de una etapa previa impide iniciar una actividad que dependa de ella, el efecto en el cronograma se determinará conforme a la Cláusula Décima y a las reglas de extensión de plazos, sin cargo de stand-by por la sola demora en aprobar. Los atrasos imputables a EL CLIENTE extienden, día por día, el plazo a cargo de EL PRESTADOR, sin responsabilidad para éste. </w:t>
      </w:r>
      <w:r>
        <w:rPr>
          <w:rFonts w:ascii="Liberation Serif" w:cs="Liberation Serif" w:eastAsia="Liberation Serif" w:hAnsi="Liberation Serif"/>
          <w:b/>
          <w:bCs/>
          <w:i w:val="false"/>
          <w:iCs w:val="false"/>
          <w:color w:val="1A1A1A"/>
          <w:sz w:val="22"/>
          <w:szCs w:val="22"/>
        </w:rPr>
        <w:t xml:space="preserve">La demora en resolver estas aprobaciones no causa cargo de stand-by</w:t>
      </w:r>
      <w:r>
        <w:rPr>
          <w:rFonts w:ascii="Liberation Serif" w:cs="Liberation Serif" w:eastAsia="Liberation Serif" w:hAnsi="Liberation Serif"/>
          <w:b w:val="false"/>
          <w:bCs w:val="false"/>
          <w:i w:val="false"/>
          <w:iCs w:val="false"/>
          <w:color w:val="1A1A1A"/>
          <w:sz w:val="22"/>
          <w:szCs w:val="22"/>
        </w:rPr>
        <w:t xml:space="preserve">: conforme a la Cláusula Décima Quinta, inciso a), el stand-by sólo procede por la falta o demora en las aportaciones del Anexo Uno. Los valores de etapa sirven para valuar los entregables en los supuestos de las Cláusulas Décima y Vigésima Segunda; no modifican las condiciones de pago de la Cláusula Novena.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10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Esta tarifa podrá revisarse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Cualquier proyecto nuevo que implique un Desarrollo Mayor deberá contar con cotización previa y autorización expresa por escrito de EL CLIENTE antes de iniciar su ejecución.</w:t>
      </w:r>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157"/>
        <w:gridCol w:w="1243"/>
        <w:gridCol w:w="1335"/>
        <w:gridCol w:w="4623"/>
      </w:tblGrid>
      <w:tr>
        <w:trPr>
          <w:cantSplit/>
          <w:tblHeader/>
        </w:trPr>
        <w:tc>
          <w:tcPr>
            <w:tcW w:type="dxa" w:w="21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24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133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46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de fixes implementado y verificable</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Comprobación funcional del entregable en el ambiente de pruebas o en producción; entrega de su código fuente conforme a la Cláusula Novena, Sección III</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—páginas crawleables, enlaces rotos, schema markup, páginas sin H1, Core Web Vitals y código de fixes implementado— se verifican al Lanzamiento en Firme y condicionan la aprobación final conforme a la Cláusula Décima, con las precisiones de medición de esta Sección. La validación funcional del código no exige la entrega anticipada del código fuente ni de los repositorios, cuya transferencia se realiza contra las exhibiciones efectivamente pagadas conforme a la Cláusula Novena, Sección III.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verificación se realizará sobre los entregables comprendidos en este Anexo y con las herramientas indicadas en la tabla, considerando la infraestructura, accesos e insumos que EL CLIENTE debe proporcionar conforme al Anexo Uno. Las deficiencias atribuibles a dichos elementos se regirán por la Cláusula Décima, inciso b), y no se imputarán a EL PRESTADOR.</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Cuando una herramienta no permita verificar al Lanzamiento en Firme una métrica por falta de datos de uso real del nuevo sitio, esa circunstancia se documentará y la verificación de la métrica pendiente se realizará durante el Periodo de Estabilización en cuanto la información esté disponible. La ausencia de datos de la herramienta no constituye por sí misma un Defecto ni impide la aprobación final cuando el cumplimiento de las especificaciones correspondientes pueda comprobarse en las pruebas del proyecto. Los incumplimientos efectivamente identificados e imputables a EL PRESTADOR se atenderán conforme a las Cláusulas Décima, Décima Segunda y Décima Quinta, según corresponda.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KPI de cobertura de keywords unbranded conserva exclusivamente el régimen de medición a 12 (doce) meses, las condiciones y el remedio ya establecidos en esta Sección. Su incumplimiento no se equipara al incumplimiento de los KPIs de implementación ni genera las penas del Anexo Cinco. Para su comparación se utilizarán de manera consistente la fuente, el ámbito y los criterios de la auditoría que constituye la línea base.</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216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Naturaleza</w:t>
            </w:r>
          </w:p>
        </w:tc>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Qué recibe EL CLIENTE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Obra por encargo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archivos finales</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archivos de configuración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Software de terceros y de código abierto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Licencias de terceros</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versión 1.2, de julio de 2026, o la versión actualizada que las Partes acuerden antes de la firma,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166"/>
        <w:gridCol w:w="4189"/>
        <w:gridCol w:w="2838"/>
        <w:gridCol w:w="1166"/>
      </w:tblGrid>
      <w:tr>
        <w:trPr>
          <w:cantSplit/>
          <w:tblHeader/>
        </w:trPr>
        <w:tc>
          <w:tcPr>
            <w:tcW w:type="dxa" w:w="11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418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283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1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Máximo 30 minutos, por el primer respondiente disponible 24/7</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 hábil</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primera respuesta automática de severidad Crítica se mide de forma continua, las 24 horas de los 7 días de la semana. Los tiempos expresados en horas o días hábiles se computan únicamente dentro del horario de soporte humano aplicable al proyecto. Dicho horario deberá quedar identificado por escrito por las Partes al establecer el canal dedicado de comunicación de incidentes del Anexo Uno, C.8, antes del inicio del soporte. El horario de atención de los clubes no determina el horario de soporte técnico. Los tiempos se miden desde la apertura del ticket de ocurrencia, con el cómputo continuo o hábil que corresponda a cada compromiso. Cuando la atención requiera información, accesos o actuaciones a cargo de EL CLIENTE, el tiempo de resolución se suspenderá únicamente durante el periodo en que su falta impida materialmente continuar; EL PRESTADOR dejará constancia en el ticket de lo solicitado y de la reanudación del cómputo.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 Las exclusiones de este Anexo no eximen a EL PRESTADOR de atender las obligaciones de diagnóstico, comunicación o continuidad que expresamente le correspondan. Los tiempos denominados «resolución objetivo» tendrán las consecuencias expresamente previstas en el apartado VI cuando éste resulte aplicable. Si la solución definitiva requiere cambios estructurales, se atenderá conforme al plan de remediación de la Cláusula Décima Quinta; dicho plan no elimina las penas que, en su caso, se hubieran causado antes de su implementación.</w:t>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automática en un máximo de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 hábiles</w:t>
      </w:r>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r>
        <w:rPr>
          <w:rFonts w:ascii="Liberation Serif" w:cs="Liberation Serif" w:eastAsia="Liberation Serif" w:hAnsi="Liberation Serif"/>
          <w:b/>
          <w:bCs/>
          <w:i w:val="false"/>
          <w:iCs w:val="false"/>
          <w:color w:val="1A1A1A"/>
          <w:sz w:val="22"/>
          <w:szCs w:val="22"/>
        </w:rPr>
        <w:t xml:space="preserve">6 (seis) semanas</w:t>
      </w:r>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 con atención reforzada: EL PRESTADOR monitorea el sitio bajo tráfico real y corrige los defectos respecto de las especificaciones del Anexo Dos y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Durante el Periodo de Estabilización se corrigen sin costo los Defectos y ajustes de lanzamiento comprendidos en el alcance pactado. Entre su conclusión y el inicio de la iguala continúa la garantía de corrección en los términos de la Cláusula Décima Segunda, fracción VIII. A partir del inicio de la iguala, las nuevas mejoras consumen la bolsa de horas y las fallas se atienden bajo el SLA de este Anexo; terminada la iguala, únicamente subsiste la garantía en los términos de dicha fracción.</w:t>
      </w:r>
    </w:p>
    <w:p>
      <w:pPr>
        <w:spacing w:after="140" w:line="264"/>
        <w:jc w:val="both"/>
      </w:pPr>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Incumplimiento</w:t>
            </w:r>
          </w:p>
        </w:tc>
        <w:tc>
          <w:tcPr>
            <w:tcW w:type="dxa" w:w="262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Pena</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Tope conjunto mensual</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10% de la iguala del mes</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y constituyen el remedio económico único por el mismo incumplimiento de los niveles de servicio, sin perjuicio de la subsanación y, cuando proceda, la rescisión conforme a la Cláusula Décima Quinta. No se causan en los supuestos de exclusión del apartado I de este Anexo.</w:t>
      </w:r>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10 de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Versión limpia</dc:description>
  <cp:lastModifiedBy>Un-named</cp:lastModifiedBy>
  <cp:revision>1</cp:revision>
  <dcterms:created xsi:type="dcterms:W3CDTF">2026-09-14T01:12:14.446Z</dcterms:created>
  <dcterms:modified xsi:type="dcterms:W3CDTF">2026-09-14T01:12:14.446Z</dcterms:modified>
</cp:coreProperties>
</file>

<file path=docProps/custom.xml><?xml version="1.0" encoding="utf-8"?>
<Properties xmlns="http://schemas.openxmlformats.org/officeDocument/2006/custom-properties" xmlns:vt="http://schemas.openxmlformats.org/officeDocument/2006/docPropsVTypes"/>
</file>