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Forming a California Nonprofit and Obtaining 501(c)(3) Status</w:t>
      </w:r>
    </w:p>
    <w:p>
      <w:pPr>
        <w:spacing w:after="160"/>
      </w:pPr>
      <w:r>
        <w:t xml:space="preserve">Steps for a California nonprofit public benefit corporation, the usual form for a 501(c)(3). Fees and forms change; confirm current amounts with each agency before filing.</w:t>
      </w:r>
    </w:p>
    <w:p>
      <w:pPr>
        <w:pStyle w:val="Heading1"/>
      </w:pPr>
      <w:r>
        <w:t xml:space="preserve">Part 1: Form the corporation (California Secretary of State)</w:t>
      </w:r>
    </w:p>
    <w:p>
      <w:pPr>
        <w:pStyle w:val="ListParagraph"/>
        <w:numPr>
          <w:ilvl w:val="0"/>
          <w:numId w:val="2"/>
        </w:numPr>
        <w:spacing w:after="120"/>
      </w:pPr>
      <w:r>
        <w:rPr>
          <w:b/>
          <w:bCs/>
        </w:rPr>
        <w:t xml:space="preserve">Choose and check a name.</w:t>
      </w:r>
      <w:r>
        <w:t xml:space="preserve"> Search California Secretary of State (SOS) records to confirm it is available.</w:t>
      </w:r>
    </w:p>
    <w:p>
      <w:pPr>
        <w:pStyle w:val="ListParagraph"/>
        <w:numPr>
          <w:ilvl w:val="0"/>
          <w:numId w:val="2"/>
        </w:numPr>
        <w:spacing w:after="120"/>
      </w:pPr>
      <w:r>
        <w:rPr>
          <w:b/>
          <w:bCs/>
        </w:rPr>
        <w:t xml:space="preserve">Recruit a board.</w:t>
      </w:r>
      <w:r>
        <w:t xml:space="preserve"> California law allows a single director, but the IRS and the state look more favorably on at least three directors. No more than 49% of the board may be "interested persons," meaning people paid by the organization or their relatives.</w:t>
      </w:r>
    </w:p>
    <w:p>
      <w:pPr>
        <w:pStyle w:val="ListParagraph"/>
        <w:numPr>
          <w:ilvl w:val="0"/>
          <w:numId w:val="2"/>
        </w:numPr>
        <w:spacing w:after="120"/>
      </w:pPr>
      <w:r>
        <w:rPr>
          <w:b/>
          <w:bCs/>
        </w:rPr>
        <w:t xml:space="preserve">Designate an agent for service of process.</w:t>
      </w:r>
      <w:r>
        <w:t xml:space="preserve"> This is a California resident or a registered corporate agent with a California street address.</w:t>
      </w:r>
    </w:p>
    <w:p>
      <w:pPr>
        <w:pStyle w:val="ListParagraph"/>
        <w:numPr>
          <w:ilvl w:val="0"/>
          <w:numId w:val="2"/>
        </w:numPr>
        <w:spacing w:after="120"/>
      </w:pPr>
      <w:r>
        <w:rPr>
          <w:b/>
          <w:bCs/>
        </w:rPr>
        <w:t xml:space="preserve">File Articles of Incorporation.</w:t>
      </w:r>
      <w:r>
        <w:t xml:space="preserve"> The SOS fill-in form, ARTS-PB-501(c)(3), already includes the purpose and dissolution language the IRS requires. The state filing fee has typically been small (around $30). It is easiest to file through the SOS bizfile Online portal.</w:t>
      </w:r>
    </w:p>
    <w:p>
      <w:pPr>
        <w:pStyle w:val="ListParagraph"/>
        <w:numPr>
          <w:ilvl w:val="0"/>
          <w:numId w:val="2"/>
        </w:numPr>
        <w:spacing w:after="120"/>
      </w:pPr>
      <w:r>
        <w:rPr>
          <w:b/>
          <w:bCs/>
        </w:rPr>
        <w:t xml:space="preserve">File the Statement of Information (Form SI-100)</w:t>
      </w:r>
      <w:r>
        <w:t xml:space="preserve"> within 90 days of incorporating, and every two years after that. It lists officers and addresses.</w:t>
      </w:r>
    </w:p>
    <w:p>
      <w:pPr>
        <w:pStyle w:val="ListParagraph"/>
        <w:numPr>
          <w:ilvl w:val="0"/>
          <w:numId w:val="2"/>
        </w:numPr>
        <w:spacing w:after="120"/>
      </w:pPr>
      <w:r>
        <w:rPr>
          <w:b/>
          <w:bCs/>
        </w:rPr>
        <w:t xml:space="preserve">Adopt bylaws and a conflict-of-interest policy, and hold an organizational meeting.</w:t>
      </w:r>
      <w:r>
        <w:t xml:space="preserve"> Elect officers (California requires a president or chair, a secretary, and a CFO/treasurer), adopt the bylaws, and authorize the IRS application. Keep minutes.</w:t>
      </w:r>
    </w:p>
    <w:p>
      <w:pPr>
        <w:pStyle w:val="ListParagraph"/>
        <w:numPr>
          <w:ilvl w:val="0"/>
          <w:numId w:val="2"/>
        </w:numPr>
        <w:spacing w:after="120"/>
      </w:pPr>
      <w:r>
        <w:rPr>
          <w:b/>
          <w:bCs/>
        </w:rPr>
        <w:t xml:space="preserve">Get an EIN</w:t>
      </w:r>
      <w:r>
        <w:t xml:space="preserve"> from the IRS. It is free and can be done online.</w:t>
      </w:r>
    </w:p>
    <w:p>
      <w:pPr>
        <w:pStyle w:val="ListParagraph"/>
        <w:numPr>
          <w:ilvl w:val="0"/>
          <w:numId w:val="2"/>
        </w:numPr>
        <w:spacing w:after="120"/>
      </w:pPr>
      <w:r>
        <w:rPr>
          <w:b/>
          <w:bCs/>
        </w:rPr>
        <w:t xml:space="preserve">Open a bank account</w:t>
      </w:r>
      <w:r>
        <w:t xml:space="preserve"> in the corporation’s name.</w:t>
      </w:r>
    </w:p>
    <w:p>
      <w:pPr>
        <w:pStyle w:val="Heading1"/>
      </w:pPr>
      <w:r>
        <w:t xml:space="preserve">Part 2: Register with the California Attorney General</w:t>
      </w:r>
    </w:p>
    <w:p>
      <w:pPr>
        <w:pStyle w:val="ListParagraph"/>
        <w:numPr>
          <w:ilvl w:val="0"/>
          <w:numId w:val="2"/>
        </w:numPr>
        <w:spacing w:after="120"/>
      </w:pPr>
      <w:r>
        <w:rPr>
          <w:b/>
          <w:bCs/>
        </w:rPr>
        <w:t xml:space="preserve">Register with the Registry of Charities and Fundraisers.</w:t>
      </w:r>
      <w:r>
        <w:t xml:space="preserve"> You must register within 30 days of first receiving any charitable assets, using Form CT-1 with a $50 fee. Attach your endorsed articles, bylaws, and your IRS determination letter if you have one; if you register before IRS approval, submit the letter later. New charities can use the Registry’s Online Filing Service.</w:t>
      </w:r>
    </w:p>
    <w:p>
      <w:pPr>
        <w:pStyle w:val="Heading1"/>
      </w:pPr>
      <w:r>
        <w:t xml:space="preserve">Part 3: Apply for 501(c)(3) status (IRS)</w:t>
      </w:r>
    </w:p>
    <w:p>
      <w:pPr>
        <w:pStyle w:val="ListParagraph"/>
        <w:numPr>
          <w:ilvl w:val="0"/>
          <w:numId w:val="2"/>
        </w:numPr>
        <w:spacing w:after="120"/>
      </w:pPr>
      <w:r>
        <w:rPr>
          <w:b/>
          <w:bCs/>
        </w:rPr>
        <w:t xml:space="preserve">Choose the application.</w:t>
      </w:r>
      <w:r>
        <w:t xml:space="preserve"> Form 1023 costs $600; Form 1023-EZ costs $275. The EZ form is only for organizations with gross receipts of $50,000 or less (actual and projected) and assets of $250,000 or less, and is not available to churches, schools, or hospitals.</w:t>
      </w:r>
    </w:p>
    <w:p>
      <w:pPr>
        <w:pStyle w:val="ListParagraph"/>
        <w:numPr>
          <w:ilvl w:val="0"/>
          <w:numId w:val="2"/>
        </w:numPr>
        <w:spacing w:after="120"/>
      </w:pPr>
      <w:r>
        <w:rPr>
          <w:b/>
          <w:bCs/>
        </w:rPr>
        <w:t xml:space="preserve">File electronically on Pay.gov.</w:t>
      </w:r>
      <w:r>
        <w:t xml:space="preserve"> The full 1023 requires a narrative of activities, several years of projected budgets, and details on compensation and related-party transactions. Filing within 27 months of incorporating generally makes the exemption retroactive to the incorporation date.</w:t>
      </w:r>
    </w:p>
    <w:p>
      <w:pPr>
        <w:pStyle w:val="ListParagraph"/>
        <w:numPr>
          <w:ilvl w:val="0"/>
          <w:numId w:val="2"/>
        </w:numPr>
        <w:spacing w:after="120"/>
      </w:pPr>
      <w:r>
        <w:rPr>
          <w:b/>
          <w:bCs/>
        </w:rPr>
        <w:t xml:space="preserve">Wait for the determination letter.</w:t>
      </w:r>
      <w:r>
        <w:t xml:space="preserve"> EZ approvals often take weeks; the full 1023 can take months.</w:t>
      </w:r>
    </w:p>
    <w:p>
      <w:pPr>
        <w:pStyle w:val="Heading1"/>
      </w:pPr>
      <w:r>
        <w:t xml:space="preserve">Part 4: California tax exemption (Franchise Tax Board)</w:t>
      </w:r>
    </w:p>
    <w:p>
      <w:pPr>
        <w:pStyle w:val="ListParagraph"/>
        <w:numPr>
          <w:ilvl w:val="0"/>
          <w:numId w:val="2"/>
        </w:numPr>
        <w:spacing w:after="120"/>
      </w:pPr>
      <w:r>
        <w:rPr>
          <w:b/>
          <w:bCs/>
        </w:rPr>
        <w:t xml:space="preserve">File FTB Form 3500A</w:t>
      </w:r>
      <w:r>
        <w:t xml:space="preserve"> once you have the IRS letter. It is free and relies on your federal approval. Alternatively, file the longer Form 3500 before federal approval. Do this promptly: until the Franchise Tax Board (FTB) grants exemption, the corporation can be treated as taxable, including for California’s $800 minimum franchise tax.</w:t>
      </w:r>
    </w:p>
    <w:p>
      <w:pPr>
        <w:pStyle w:val="ListParagraph"/>
        <w:numPr>
          <w:ilvl w:val="0"/>
          <w:numId w:val="2"/>
        </w:numPr>
        <w:spacing w:after="120"/>
      </w:pPr>
      <w:r>
        <w:rPr>
          <w:b/>
          <w:bCs/>
        </w:rPr>
        <w:t xml:space="preserve">Handle other state and local exemptions as they apply.</w:t>
      </w:r>
      <w:r>
        <w:t xml:space="preserve"> For property tax, obtain an Organizational Clearance Certificate from the Board of Equalization and file a claim with your county assessor. California offers very limited sales tax exemptions for nonprofits. If you will have employees, register with the Employment Development Department (EDD). Check whether your city requires a business license.</w:t>
      </w:r>
    </w:p>
    <w:p>
      <w:pPr>
        <w:pStyle w:val="Heading1"/>
      </w:pPr>
      <w:r>
        <w:t xml:space="preserve">Part 5: Ongoing compliance</w:t>
      </w:r>
    </w:p>
    <w:p>
      <w:pPr>
        <w:pStyle w:val="ListParagraph"/>
        <w:numPr>
          <w:ilvl w:val="0"/>
          <w:numId w:val="2"/>
        </w:numPr>
        <w:spacing w:after="120"/>
      </w:pPr>
      <w:r>
        <w:rPr>
          <w:b/>
          <w:bCs/>
        </w:rPr>
        <w:t xml:space="preserve">File these every year:</w:t>
      </w:r>
    </w:p>
    <w:p>
      <w:pPr>
        <w:pStyle w:val="ListParagraph"/>
        <w:numPr>
          <w:ilvl w:val="1"/>
          <w:numId w:val="2"/>
        </w:numPr>
        <w:spacing w:after="80"/>
      </w:pPr>
      <w:r>
        <w:rPr>
          <w:b/>
          <w:bCs/>
        </w:rPr>
        <w:t xml:space="preserve">IRS:</w:t>
      </w:r>
      <w:r>
        <w:t xml:space="preserve"> Form 990, 990-EZ, or 990-N. Three missed years in a row means automatic revocation of the exemption.</w:t>
      </w:r>
    </w:p>
    <w:p>
      <w:pPr>
        <w:pStyle w:val="ListParagraph"/>
        <w:numPr>
          <w:ilvl w:val="1"/>
          <w:numId w:val="2"/>
        </w:numPr>
        <w:spacing w:after="80"/>
      </w:pPr>
      <w:r>
        <w:rPr>
          <w:b/>
          <w:bCs/>
        </w:rPr>
        <w:t xml:space="preserve">FTB:</w:t>
      </w:r>
      <w:r>
        <w:t xml:space="preserve"> Form 199 or 199N.</w:t>
      </w:r>
    </w:p>
    <w:p>
      <w:pPr>
        <w:pStyle w:val="ListParagraph"/>
        <w:numPr>
          <w:ilvl w:val="1"/>
          <w:numId w:val="2"/>
        </w:numPr>
        <w:spacing w:after="80"/>
      </w:pPr>
      <w:r>
        <w:rPr>
          <w:b/>
          <w:bCs/>
        </w:rPr>
        <w:t xml:space="preserve">Attorney General:</w:t>
      </w:r>
      <w:r>
        <w:t xml:space="preserve"> Form RRF-1, with either your IRS Form 990 or, for smaller organizations, Form CT-TR-1. Failing to renew gets you listed as delinquent, which can also cost you your FTB exemption.</w:t>
      </w:r>
    </w:p>
    <w:p>
      <w:pPr>
        <w:pStyle w:val="ListParagraph"/>
        <w:numPr>
          <w:ilvl w:val="1"/>
          <w:numId w:val="2"/>
        </w:numPr>
        <w:spacing w:after="80"/>
      </w:pPr>
      <w:r>
        <w:rPr>
          <w:b/>
          <w:bCs/>
        </w:rPr>
        <w:t xml:space="preserve">Secretary of State:</w:t>
      </w:r>
      <w:r>
        <w:t xml:space="preserve"> the Statement of Information, every two years.</w:t>
      </w:r>
    </w:p>
    <w:p>
      <w:pPr>
        <w:pStyle w:val="ListParagraph"/>
        <w:numPr>
          <w:ilvl w:val="0"/>
          <w:numId w:val="2"/>
        </w:numPr>
        <w:spacing w:after="120"/>
      </w:pPr>
      <w:r>
        <w:rPr>
          <w:b/>
          <w:bCs/>
        </w:rPr>
        <w:t xml:space="preserve">Know the California-specific rules.</w:t>
      </w:r>
      <w:r>
        <w:t xml:space="preserve"> Charities with $2 million or more in gross income need an independent audit, and raffles require a separate registration. Avoid political campaign activity, substantial lobbying, and any private benefit to insiders.</w:t>
      </w:r>
    </w:p>
    <w:p>
      <w:pPr>
        <w:spacing w:before="240"/>
      </w:pPr>
      <w:r>
        <w:rPr>
          <w:i/>
          <w:iCs/>
          <w:color w:val="555555"/>
        </w:rPr>
        <w:t xml:space="preserve">This is general information, not legal or tax advice. Consider having a California nonprofit attorney review your articles and bylaws, especially if you are filing the full Form 1023.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440"/>
      </w:pPr>
    </w:lvl>
    <w:lvl w:ilvl="1" w15:tentative="1">
      <w:start w:val="1"/>
      <w:numFmt w:val="bullet"/>
      <w:lvlText w:val="•"/>
      <w:lvlJc w:val="left"/>
      <w:pPr>
        <w:ind w:left="8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36"/>
      <w:szCs w:val="36"/>
    </w:rPr>
  </w:style>
  <w:style w:type="paragraph" w:styleId="Heading1">
    <w:name w:val="Heading 1"/>
    <w:basedOn w:val="Normal"/>
    <w:next w:val="Normal"/>
    <w:qFormat/>
    <w:pPr>
      <w:spacing w:after="120" w:before="280"/>
      <w:outlineLvl w:val="0"/>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2026-09-17T01:54:31.967Z</dcterms:created>
  <dcterms:modified xsi:type="dcterms:W3CDTF">2026-09-17T01:54:31.975Z</dcterms:modified>
</cp:coreProperties>
</file>

<file path=docProps/custom.xml><?xml version="1.0" encoding="utf-8"?>
<Properties xmlns="http://schemas.openxmlformats.org/officeDocument/2006/custom-properties" xmlns:vt="http://schemas.openxmlformats.org/officeDocument/2006/docPropsVTypes"/>
</file>