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Gold Mining Circle: Continue Under MKP or Incorporate Independently</w:t>
      </w:r>
    </w:p>
    <w:p>
      <w:pPr>
        <w:spacing w:after="240"/>
      </w:pPr>
      <w:r>
        <w:rPr>
          <w:color w:val="595959"/>
          <w:sz w:val="24"/>
          <w:szCs w:val="24"/>
        </w:rPr>
        <w:t xml:space="preserve">Discussion paper for the Steering Committee — prepared September 20, 2026 — DRAFT</w:t>
      </w:r>
    </w:p>
    <w:p>
      <w:pPr>
        <w:pStyle w:val="Heading1"/>
        <w:spacing w:before="360" w:after="120"/>
        <w:keepNext/>
      </w:pPr>
      <w:r>
        <w:t xml:space="preserve">1. Purpose of this paper</w:t>
      </w:r>
    </w:p>
    <w:p>
      <w:pPr>
        <w:spacing w:after="160" w:line="290"/>
        <w:jc w:val="both"/>
      </w:pPr>
      <w:r>
        <w:t xml:space="preserve">The Steering Committee is already drafting Articles of Incorporation for a California nonprofit public benefit corporation and preparing an application for recognition of exemption under Section 501(c)(3). Before that work goes further, the Committee should answer a prior question: is independence actually the right structure for the Gold Mining Circle, or is the program better off continuing to operate under the ManKind Project (MKP)?</w:t>
      </w:r>
    </w:p>
    <w:p>
      <w:pPr>
        <w:spacing w:after="160" w:line="290"/>
        <w:jc w:val="both"/>
      </w:pPr>
      <w:r>
        <w:t xml:space="preserve">This paper lays out the two approaches side by side, with particular attention to the issues that are easy to underestimate: liability insurance, international operations, the website, data protection for European participants, and the ongoing administrative load. It ends with a recommendation and a list of questions that need answers before the decision can responsibly be made.</w:t>
      </w:r>
    </w:p>
    <w:p>
      <w:pPr>
        <w:pBdr>
          <w:top w:val="single" w:color="1F3864" w:sz="4" w:space="6"/>
          <w:left w:val="single" w:color="1F3864" w:sz="18" w:space="8"/>
          <w:bottom w:val="single" w:color="1F3864" w:sz="4" w:space="6"/>
          <w:right w:val="single" w:color="1F3864" w:sz="4" w:space="6"/>
        </w:pBdr>
        <w:shd w:fill="EEF2F8" w:color="auto" w:val="clear"/>
        <w:spacing w:before="160" w:after="200" w:line="290"/>
        <w:ind w:left="120" w:right="120"/>
        <w:jc w:val="both"/>
      </w:pPr>
      <w:r>
        <w:rPr>
          <w:b/>
          <w:bCs/>
        </w:rPr>
        <w:t xml:space="preserve">A note on what is and is not verified here.</w:t>
      </w:r>
      <w:r>
        <w:t xml:space="preserve"> The one fact taken as given is the one the Committee supplied: MKP’s liability coverage extends to weekends held in regions of the world where an MKP subsidiary operates. Everything else about MKP’s current policies, fees, insurance terms, website capabilities, and intellectual property positions is </w:t>
      </w:r>
      <w:r>
        <w:rPr>
          <w:b/>
          <w:bCs/>
        </w:rPr>
        <w:t xml:space="preserve">assumed rather than confirmed</w:t>
      </w:r>
      <w:r>
        <w:t xml:space="preserve">, and is marked </w:t>
      </w:r>
      <w:r>
        <w:rPr>
          <w:b/>
          <w:bCs/>
        </w:rPr>
        <w:t xml:space="preserve">[Confirm]</w:t>
      </w:r>
      <w:r>
        <w:t xml:space="preserve"> where it matters. Those items are collected into a question list in Section 14. The structure of the analysis holds regardless of the answers; the conclusion may not.</w:t>
      </w:r>
    </w:p>
    <w:p>
      <w:pPr>
        <w:pStyle w:val="Heading1"/>
        <w:spacing w:before="360" w:after="120"/>
        <w:keepNext/>
      </w:pPr>
      <w:r>
        <w:t xml:space="preserve">2. The options, stated precisely</w:t>
      </w:r>
    </w:p>
    <w:p>
      <w:pPr>
        <w:spacing w:after="160" w:line="290"/>
        <w:jc w:val="both"/>
      </w:pPr>
      <w:r>
        <w:t xml:space="preserve">The choice is usually framed as a binary, but there are really three viable structures, and the third is the one most organizations in this position end up choosing.</w:t>
      </w:r>
    </w:p>
    <w:p>
      <w:pPr>
        <w:pStyle w:val="Heading2"/>
        <w:spacing w:before="240" w:after="100"/>
        <w:keepNext/>
      </w:pPr>
      <w:r>
        <w:t xml:space="preserve">Option A — Remain a program under MKP</w:t>
      </w:r>
    </w:p>
    <w:p>
      <w:pPr>
        <w:spacing w:after="160" w:line="290"/>
        <w:jc w:val="both"/>
      </w:pPr>
      <w:r>
        <w:t xml:space="preserve">The Gold Mining Circle continues as an activity carried on under MKP’s corporate and tax umbrella. MKP is the legal entity, the insured party, the recipient of program revenue, and the holder of the exemption. GMC operates as a program with whatever autonomy MKP grants it.</w:t>
      </w:r>
    </w:p>
    <w:p>
      <w:pPr>
        <w:pStyle w:val="Heading2"/>
        <w:spacing w:before="240" w:after="100"/>
        <w:keepNext/>
      </w:pPr>
      <w:r>
        <w:t xml:space="preserve">Option B — Incorporate and separate fully</w:t>
      </w:r>
    </w:p>
    <w:p>
      <w:pPr>
        <w:spacing w:after="160" w:line="290"/>
        <w:jc w:val="both"/>
      </w:pPr>
      <w:r>
        <w:t xml:space="preserve">GMC incorporates in California, obtains its own 501(c)(3) determination, buys its own insurance, runs its own website and registration, holds its own funds, and ends its operational dependence on MKP. This is the path the current Articles draft assumes.</w:t>
      </w:r>
    </w:p>
    <w:p>
      <w:pPr>
        <w:pStyle w:val="Heading2"/>
        <w:spacing w:before="240" w:after="100"/>
        <w:keepNext/>
      </w:pPr>
      <w:r>
        <w:t xml:space="preserve">Option C — Incorporate, but stay affiliated by written agreement</w:t>
      </w:r>
    </w:p>
    <w:p>
      <w:pPr>
        <w:spacing w:after="160" w:line="290"/>
        <w:jc w:val="both"/>
      </w:pPr>
      <w:r>
        <w:t xml:space="preserve">GMC incorporates and obtains its own exemption, and simultaneously negotiates a written affiliation or program agreement with MKP covering the things that are genuinely hard to replace — chiefly insurance coverage for weekends and access to MKP communities abroad — in exchange for agreed standards, reporting, and possibly a fee. A close variant is </w:t>
      </w:r>
      <w:r>
        <w:rPr>
          <w:b/>
          <w:bCs/>
        </w:rPr>
        <w:t xml:space="preserve">fiscal sponsorship</w:t>
      </w:r>
      <w:r>
        <w:t xml:space="preserve">, where GMC operates under a sponsoring charity’s exemption and insurance for a transition period, typically for an administrative fee of roughly five to ten percent of revenue, while building the capacity to stand alone.</w:t>
      </w:r>
    </w:p>
    <w:p>
      <w:pPr>
        <w:spacing w:after="160" w:line="290"/>
        <w:jc w:val="both"/>
      </w:pPr>
      <w:r>
        <w:t xml:space="preserve">Option C is not a compromise for its own sake. Insurance and international reach are the two things an independent GMC would find hardest and most expensive to reproduce, and they are precisely the two things an affiliation agreement can preserve. Everything else — the website, the mailing list, the bank account, the brand, the governance — is easier to take independent than most people expect.</w:t>
      </w:r>
    </w:p>
    <w:p>
      <w:pPr>
        <w:pStyle w:val="Heading1"/>
        <w:spacing w:before="360" w:after="120"/>
        <w:keepNext/>
      </w:pPr>
      <w:r>
        <w:t xml:space="preserve">3. Summary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Dimension</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Under MKP (Option A)</w:t>
            </w:r>
          </w:p>
        </w:tc>
        <w:tc>
          <w:tcPr>
            <w:tcW w:type="dxa" w:w="383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Independent 501(c)(3) (Option B)</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Liability insurance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Covered under MKP’s program, including weekends in regions with an MKP subsidiary. No premium to raise, no broker to manage.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GMC must buy its own general liability, abuse/molestation, and D&amp;O cover, and arrange separate coverage for each country it operates in. The hardest and most expensive item on this list.</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International operations</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MKP affiliates already exist in Sweden and elsewhere; local presence and coverage come with the relationship.</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Each country needs its own answer: local partner, local entity, or local policy. Independence does not remove the need for local structure — it may add one per country.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Website and branding</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Constrained by MKP’s platform, templates, navigation, and change queue. [Confirm]</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Full control of domain, design, registration flow, analytics, and the mailing list. Full responsibility for hosting, security, accessibility, and upkeep.</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Participant data / GDPR</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MKP most likely acts as controller and carries the compliance burden. [Confirm]</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GMC becomes the data controller for EU participants, including health information disclosed at registration. A real, recurring obligation.</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Money and fundraising</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Revenue flows through MKP. Gifts are deductible via MKP’s exemption. GMC may not control reserves or accept restricted gifts directly. [Confirm]</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Own EIN, bank account, reserves, deductible receipts, and eligibility to apply for grants in its own name.</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Brand and curriculum</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Ownership of the Gold Mining Circle name and materials may rest with MKP. [Confirm — decisive]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GMC owns and controls its name and curriculum, if it is free to take them.</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Governance and speed</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Decisions subject to MKP policy and process. Established standards and an experienced elder pool come with it.</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GMC sets its own standards, leader certification, and safety process — and is solely accountable when something goes wrong.</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Participant pipeline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Access to MKP’s existing membership, referrals, and credibility.</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Marketing and recruitment must be rebuilt from scratch.</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Administrative load</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Minimal. MKP files the returns and handles registration and compliance.</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Federal and state filings every year, charity registration renewals, bookkeeping, insurance renewals. Requires a reliable treasurer and secretary.</w:t>
            </w:r>
          </w:p>
        </w:tc>
      </w:tr>
      <w:tr>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Autonomy</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Limited and revocable. The relationship can change on MKP’s terms.</w:t>
            </w:r>
          </w:p>
        </w:tc>
        <w:tc>
          <w:tcPr>
            <w:tcW w:type="dxa" w:w="383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Complete, subject only to the board and the law.</w:t>
            </w:r>
          </w:p>
        </w:tc>
      </w:tr>
    </w:tbl>
    <w:p>
      <w:pPr>
        <w:spacing w:after="120"/>
      </w:pPr>
    </w:p>
    <w:p>
      <w:pPr>
        <w:pStyle w:val="Heading1"/>
        <w:spacing w:before="360" w:after="120"/>
        <w:keepNext/>
      </w:pPr>
      <w:r>
        <w:t xml:space="preserve">4. Liability insurance: the decisive issue</w:t>
      </w:r>
    </w:p>
    <w:p>
      <w:pPr>
        <w:spacing w:after="160" w:line="290"/>
        <w:jc w:val="both"/>
      </w:pPr>
      <w:r>
        <w:t xml:space="preserve">Of everything on the table, insurance is the item most likely to determine the answer, and the item most often underestimated by boards making this decision. A residential personal-growth weekend is not an ordinary nonprofit activity from an underwriter’s point of view. It involves adults in emotionally intense processes, often at a remote venue, sometimes overnight, frequently led by volunteers rather than licensed clinicians. That profile drives both the coverage needed and the price.</w:t>
      </w:r>
    </w:p>
    <w:p>
      <w:pPr>
        <w:pStyle w:val="Heading2"/>
        <w:spacing w:before="240" w:after="100"/>
        <w:keepNext/>
      </w:pPr>
      <w:r>
        <w:t xml:space="preserve">4.1 What a weekend actually needs covered</w:t>
      </w:r>
    </w:p>
    <w:p>
      <w:pPr>
        <w:pStyle w:val="ListParagraph"/>
        <w:numPr>
          <w:ilvl w:val="0"/>
          <w:numId w:val="1"/>
        </w:numPr>
        <w:spacing w:after="100" w:line="290"/>
        <w:ind w:left="720" w:hanging="360"/>
        <w:jc w:val="both"/>
      </w:pPr>
      <w:r>
        <w:rPr>
          <w:b/>
          <w:bCs/>
        </w:rPr>
        <w:t xml:space="preserve">Commercial general liability.</w:t>
      </w:r>
      <w:r>
        <w:t xml:space="preserve"> Bodily injury and property damage at the venue. Venues will usually require a certificate of insurance naming them as an additional insured before they will sign a contract.</w:t>
      </w:r>
    </w:p>
    <w:p>
      <w:pPr>
        <w:pStyle w:val="ListParagraph"/>
        <w:numPr>
          <w:ilvl w:val="0"/>
          <w:numId w:val="1"/>
        </w:numPr>
        <w:spacing w:after="100" w:line="290"/>
        <w:ind w:left="720" w:hanging="360"/>
        <w:jc w:val="both"/>
      </w:pPr>
      <w:r>
        <w:rPr>
          <w:b/>
          <w:bCs/>
        </w:rPr>
        <w:t xml:space="preserve">Sexual abuse and molestation (SAM) liability.</w:t>
      </w:r>
      <w:r>
        <w:t xml:space="preserve"> This is the coverage that matters most and the one that is hardest to buy. It is frequently excluded from base general liability policies and must be added by endorsement or bought separately. For any organization doing intimate group work with adults, an uninsured allegation in this category is an existential event — defense costs alone can exhaust a small organization even when the claim fails.</w:t>
      </w:r>
    </w:p>
    <w:p>
      <w:pPr>
        <w:pStyle w:val="ListParagraph"/>
        <w:numPr>
          <w:ilvl w:val="0"/>
          <w:numId w:val="1"/>
        </w:numPr>
        <w:spacing w:after="100" w:line="290"/>
        <w:ind w:left="720" w:hanging="360"/>
        <w:jc w:val="both"/>
      </w:pPr>
      <w:r>
        <w:rPr>
          <w:b/>
          <w:bCs/>
        </w:rPr>
        <w:t xml:space="preserve">Participant injury / accident cover.</w:t>
      </w:r>
      <w:r>
        <w:t xml:space="preserve"> Participants are not employees, so workers’ compensation does not reach them; a volunteer accident or participant accident policy fills part of this gap.</w:t>
      </w:r>
    </w:p>
    <w:p>
      <w:pPr>
        <w:pStyle w:val="ListParagraph"/>
        <w:numPr>
          <w:ilvl w:val="0"/>
          <w:numId w:val="1"/>
        </w:numPr>
        <w:spacing w:after="100" w:line="290"/>
        <w:ind w:left="720" w:hanging="360"/>
        <w:jc w:val="both"/>
      </w:pPr>
      <w:r>
        <w:rPr>
          <w:b/>
          <w:bCs/>
        </w:rPr>
        <w:t xml:space="preserve">Professional liability.</w:t>
      </w:r>
      <w:r>
        <w:t xml:space="preserve"> Claims arising from the conduct of the process itself — advice given, psychological harm alleged, a participant in crisis. Underwriters will ask whether leaders are licensed, what screening is done, and what the protocol is when someone decompensates.</w:t>
      </w:r>
    </w:p>
    <w:p>
      <w:pPr>
        <w:pStyle w:val="ListParagraph"/>
        <w:numPr>
          <w:ilvl w:val="0"/>
          <w:numId w:val="1"/>
        </w:numPr>
        <w:spacing w:after="100" w:line="290"/>
        <w:ind w:left="720" w:hanging="360"/>
        <w:jc w:val="both"/>
      </w:pPr>
      <w:r>
        <w:rPr>
          <w:b/>
          <w:bCs/>
        </w:rPr>
        <w:t xml:space="preserve">Directors and officers liability.</w:t>
      </w:r>
      <w:r>
        <w:t xml:space="preserve"> Protects the board personally. Inexpensive relative to the others, and generally a precondition for recruiting competent directors.</w:t>
      </w:r>
    </w:p>
    <w:p>
      <w:pPr>
        <w:pStyle w:val="ListParagraph"/>
        <w:numPr>
          <w:ilvl w:val="0"/>
          <w:numId w:val="1"/>
        </w:numPr>
        <w:spacing w:after="100" w:line="290"/>
        <w:ind w:left="720" w:hanging="360"/>
        <w:jc w:val="both"/>
      </w:pPr>
      <w:r>
        <w:rPr>
          <w:b/>
          <w:bCs/>
        </w:rPr>
        <w:t xml:space="preserve">Territory.</w:t>
      </w:r>
      <w:r>
        <w:t xml:space="preserve"> Most US-issued general liability policies limit the coverage territory to the United States and Canada, or cover foreign incidents only where suit is brought in the US. Weekends held in Sweden or elsewhere in Europe will generally need either a foreign liability package, a difference-in-conditions policy, or an admitted local policy — and European venues often insist on a local certificate they can read and enforce.</w:t>
      </w:r>
    </w:p>
    <w:p>
      <w:pPr>
        <w:pStyle w:val="Heading2"/>
        <w:spacing w:before="240" w:after="100"/>
        <w:keepNext/>
      </w:pPr>
      <w:r>
        <w:t xml:space="preserve">4.2 What MKP provides today</w:t>
      </w:r>
    </w:p>
    <w:p>
      <w:pPr>
        <w:spacing w:after="160" w:line="290"/>
        <w:jc w:val="both"/>
      </w:pPr>
      <w:r>
        <w:t xml:space="preserve">The Committee’s own starting point is that MKP’s coverage reaches weekends held in any region with an MKP subsidiary. That is a significant benefit and it is free at the point of use: no premium to raise from participants, no renewal to negotiate, no broker relationship to maintain, no territory analysis before booking a venue abroad. It also means MKP’s risk managers, not GMC’s volunteers, are the ones who have to be satisfied that the program is being run safely.</w:t>
      </w:r>
    </w:p>
    <w:p>
      <w:pPr>
        <w:spacing w:after="160" w:line="290"/>
        <w:jc w:val="both"/>
      </w:pPr>
      <w:r>
        <w:t xml:space="preserve">Before treating this as settled, however, the Committee should get three things in writing </w:t>
      </w:r>
      <w:r>
        <w:rPr>
          <w:b/>
          <w:bCs/>
        </w:rPr>
        <w:t xml:space="preserve">[Confirm]</w:t>
      </w:r>
      <w:r>
        <w:t xml:space="preserve">: the actual limits and named insureds on the policy; whether individual GMC leaders and volunteers are insureds or merely beneficiaries of MKP’s defense; and whether SAM coverage is included at meaningful limits or sublimited to a token amount. A policy that covers the venue slip-and-fall but sublimits abuse claims to $25,000 is not the protection people assume it is.</w:t>
      </w:r>
    </w:p>
    <w:p>
      <w:pPr>
        <w:pStyle w:val="Heading2"/>
        <w:spacing w:before="240" w:after="100"/>
        <w:keepNext/>
      </w:pPr>
      <w:r>
        <w:t xml:space="preserve">4.3 What independence would require</w:t>
      </w:r>
    </w:p>
    <w:p>
      <w:pPr>
        <w:spacing w:after="160" w:line="290"/>
        <w:jc w:val="both"/>
      </w:pPr>
      <w:r>
        <w:t xml:space="preserve">An independent GMC would have to buy all of the above. The obstacle is not only cost but </w:t>
      </w:r>
      <w:r>
        <w:rPr>
          <w:b/>
          <w:bCs/>
        </w:rPr>
        <w:t xml:space="preserve">availability</w:t>
      </w:r>
      <w:r>
        <w:t xml:space="preserve">. A newly formed corporation with no claims history, no audited procedures, and volunteer leadership is an unattractive risk. Carriers that write abuse liability for this kind of organization will ask for written screening criteria, background checks on leaders, two-deep leadership rules, a documented incident-response and grievance procedure, participant health screening, and a clear boundary policy. Producing those documents is worth doing regardless — but the point is that the insurance application will force them, on a schedule.</w:t>
      </w:r>
    </w:p>
    <w:p>
      <w:pPr>
        <w:pBdr>
          <w:top w:val="single" w:color="1F3864" w:sz="4" w:space="6"/>
          <w:left w:val="single" w:color="1F3864" w:sz="18" w:space="8"/>
          <w:bottom w:val="single" w:color="1F3864" w:sz="4" w:space="6"/>
          <w:right w:val="single" w:color="1F3864" w:sz="4" w:space="6"/>
        </w:pBdr>
        <w:shd w:fill="EEF2F8" w:color="auto" w:val="clear"/>
        <w:spacing w:before="160" w:after="200" w:line="290"/>
        <w:ind w:left="120" w:right="120"/>
        <w:jc w:val="both"/>
      </w:pPr>
      <w:r>
        <w:rPr>
          <w:b/>
          <w:bCs/>
        </w:rPr>
        <w:t xml:space="preserve">The single most useful thing the Committee can do in the next thirty days</w:t>
      </w:r>
      <w:r>
        <w:t xml:space="preserve"> is take the program profile to a broker who specializes in nonprofit human-services and camp risks and get an indicative quote for general liability, abuse liability, professional liability, and D&amp;O, with a foreign territory extension for Sweden. A real number — or a refusal to quote — will settle much of this debate faster than any further discussion.</w:t>
      </w:r>
    </w:p>
    <w:p>
      <w:pPr>
        <w:pStyle w:val="Heading1"/>
        <w:spacing w:before="360" w:after="120"/>
        <w:keepNext/>
      </w:pPr>
      <w:r>
        <w:t xml:space="preserve">5. Legal exposure beyond insurance</w:t>
      </w:r>
    </w:p>
    <w:p>
      <w:pPr>
        <w:spacing w:after="160" w:line="290"/>
        <w:jc w:val="both"/>
      </w:pPr>
      <w:r>
        <w:t xml:space="preserve">Two points are often confused with each other. Insurance pays claims; corporate structure decides who gets sued and whose assets are at risk.</w:t>
      </w:r>
    </w:p>
    <w:p>
      <w:pPr>
        <w:spacing w:after="160" w:line="290"/>
        <w:jc w:val="both"/>
      </w:pPr>
      <w:r>
        <w:t xml:space="preserve">Operating under MKP means that in most circumstances MKP is the defendant, and MKP’s assets — not GMC’s, and not the leaders’ — are the target. That is genuine protection, and it is part of what GMC gives up by separating. It is not, however, complete: an individual leader who is personally alleged to have caused harm can be named personally regardless of which entity runs the program, and whether MKP would defend that person is a question worth asking explicitly </w:t>
      </w:r>
      <w:r>
        <w:rPr>
          <w:b/>
          <w:bCs/>
        </w:rPr>
        <w:t xml:space="preserve">[Confirm]</w:t>
      </w:r>
      <w:r>
        <w:t xml:space="preserve">.</w:t>
      </w:r>
    </w:p>
    <w:p>
      <w:pPr>
        <w:spacing w:after="160" w:line="290"/>
        <w:jc w:val="both"/>
      </w:pPr>
      <w:r>
        <w:t xml:space="preserve">Conversely, incorporating creates a liability shield that does not exist today for GMC’s own organizers. A California nonprofit public benefit corporation, properly maintained, generally protects directors and volunteers from personal liability for the corporation’s obligations, and California law and the federal Volunteer Protection Act provide further protection for uncompensated directors acting in good faith. Those protections depend on corporate formalities being kept — minutes, separate bank accounts, no commingling — which is part of the administrative load described in Section 10.</w:t>
      </w:r>
    </w:p>
    <w:p>
      <w:pPr>
        <w:pStyle w:val="Heading1"/>
        <w:spacing w:before="360" w:after="120"/>
        <w:keepNext/>
      </w:pPr>
      <w:r>
        <w:t xml:space="preserve">6. The website and digital presence</w:t>
      </w:r>
    </w:p>
    <w:p>
      <w:pPr>
        <w:pStyle w:val="Heading2"/>
        <w:spacing w:before="240" w:after="100"/>
        <w:keepNext/>
      </w:pPr>
      <w:r>
        <w:t xml:space="preserve">6.1 Operating on MKP’s site</w:t>
      </w:r>
    </w:p>
    <w:p>
      <w:pPr>
        <w:spacing w:after="160" w:line="290"/>
        <w:jc w:val="both"/>
      </w:pPr>
      <w:r>
        <w:t xml:space="preserve">The practical frustrations of living on another organization’s website are predictable, and they compound over time. </w:t>
      </w:r>
      <w:r>
        <w:rPr>
          <w:b/>
          <w:bCs/>
        </w:rPr>
        <w:t xml:space="preserve">[Confirm each against the current arrangement.]</w:t>
      </w:r>
    </w:p>
    <w:p>
      <w:pPr>
        <w:pStyle w:val="ListParagraph"/>
        <w:numPr>
          <w:ilvl w:val="0"/>
          <w:numId w:val="1"/>
        </w:numPr>
        <w:spacing w:after="100" w:line="290"/>
        <w:ind w:left="720" w:hanging="360"/>
        <w:jc w:val="both"/>
      </w:pPr>
      <w:r>
        <w:rPr>
          <w:b/>
          <w:bCs/>
        </w:rPr>
        <w:t xml:space="preserve">Structural subordination.</w:t>
      </w:r>
      <w:r>
        <w:t xml:space="preserve"> GMC appears as a page or section within MKP’s information architecture, reachable through MKP’s navigation, presented in MKP’s templates and brand. Prospective participants searching for the program find MKP first.</w:t>
      </w:r>
    </w:p>
    <w:p>
      <w:pPr>
        <w:pStyle w:val="ListParagraph"/>
        <w:numPr>
          <w:ilvl w:val="0"/>
          <w:numId w:val="1"/>
        </w:numPr>
        <w:spacing w:after="100" w:line="290"/>
        <w:ind w:left="720" w:hanging="360"/>
        <w:jc w:val="both"/>
      </w:pPr>
      <w:r>
        <w:rPr>
          <w:b/>
          <w:bCs/>
        </w:rPr>
        <w:t xml:space="preserve">Change latency.</w:t>
      </w:r>
      <w:r>
        <w:t xml:space="preserve"> Every edit — a new weekend date, a corrected fee, a revised description — goes through whoever administers MKP’s site, on their schedule and behind their other priorities.</w:t>
      </w:r>
    </w:p>
    <w:p>
      <w:pPr>
        <w:pStyle w:val="ListParagraph"/>
        <w:numPr>
          <w:ilvl w:val="0"/>
          <w:numId w:val="1"/>
        </w:numPr>
        <w:spacing w:after="100" w:line="290"/>
        <w:ind w:left="720" w:hanging="360"/>
        <w:jc w:val="both"/>
      </w:pPr>
      <w:r>
        <w:rPr>
          <w:b/>
          <w:bCs/>
        </w:rPr>
        <w:t xml:space="preserve">No control of the registration and payment flow.</w:t>
      </w:r>
      <w:r>
        <w:t xml:space="preserve"> Forms, fields, confirmation emails, refund handling, and currency options are whatever MKP’s systems support. Registration data may be difficult or impossible to export.</w:t>
      </w:r>
    </w:p>
    <w:p>
      <w:pPr>
        <w:pStyle w:val="ListParagraph"/>
        <w:numPr>
          <w:ilvl w:val="0"/>
          <w:numId w:val="1"/>
        </w:numPr>
        <w:spacing w:after="100" w:line="290"/>
        <w:ind w:left="720" w:hanging="360"/>
        <w:jc w:val="both"/>
      </w:pPr>
      <w:r>
        <w:rPr>
          <w:b/>
          <w:bCs/>
        </w:rPr>
        <w:t xml:space="preserve">The mailing list is not yours.</w:t>
      </w:r>
      <w:r>
        <w:t xml:space="preserve"> This is the most valuable asset at stake and the one most often surrendered without noticing. If participant and prospect contact details live in MKP’s CRM under MKP’s privacy notice, GMC may have no right to take a copy when it leaves.</w:t>
      </w:r>
    </w:p>
    <w:p>
      <w:pPr>
        <w:pStyle w:val="ListParagraph"/>
        <w:numPr>
          <w:ilvl w:val="0"/>
          <w:numId w:val="1"/>
        </w:numPr>
        <w:spacing w:after="100" w:line="290"/>
        <w:ind w:left="720" w:hanging="360"/>
        <w:jc w:val="both"/>
      </w:pPr>
      <w:r>
        <w:rPr>
          <w:b/>
          <w:bCs/>
        </w:rPr>
        <w:t xml:space="preserve">No analytics, no experimentation.</w:t>
      </w:r>
      <w:r>
        <w:t xml:space="preserve"> Without access to traffic data, GMC cannot tell which descriptions convert, where registrations are abandoned, or which regions are producing interest.</w:t>
      </w:r>
    </w:p>
    <w:p>
      <w:pPr>
        <w:pStyle w:val="ListParagraph"/>
        <w:numPr>
          <w:ilvl w:val="0"/>
          <w:numId w:val="1"/>
        </w:numPr>
        <w:spacing w:after="100" w:line="290"/>
        <w:ind w:left="720" w:hanging="360"/>
        <w:jc w:val="both"/>
      </w:pPr>
      <w:r>
        <w:rPr>
          <w:b/>
          <w:bCs/>
        </w:rPr>
        <w:t xml:space="preserve">Search visibility accrues to the host.</w:t>
      </w:r>
      <w:r>
        <w:t xml:space="preserve"> Inbound links and search authority attach to MKP’s domain, so a later move starts from close to zero.</w:t>
      </w:r>
    </w:p>
    <w:p>
      <w:pPr>
        <w:pStyle w:val="Heading2"/>
        <w:spacing w:before="240" w:after="100"/>
        <w:keepNext/>
      </w:pPr>
      <w:r>
        <w:t xml:space="preserve">6.2 Running it independently</w:t>
      </w:r>
    </w:p>
    <w:p>
      <w:pPr>
        <w:spacing w:after="160" w:line="290"/>
        <w:jc w:val="both"/>
      </w:pPr>
      <w:r>
        <w:t xml:space="preserve">The Steering Committee agenda notes that Gold Mining Circle already matches an existing website, domain, and email identity, which means a good part of this work is done and the transition cost is lower than it would be for a program starting from nothing. Independence buys control of the domain, the design, the registration and payment flow, the participant list, and the analytics.</w:t>
      </w:r>
    </w:p>
    <w:p>
      <w:pPr>
        <w:spacing w:after="160" w:line="290"/>
        <w:jc w:val="both"/>
      </w:pPr>
      <w:r>
        <w:t xml:space="preserve">The corresponding obligations are ongoing rather than one-time, and they need an owner:</w:t>
      </w:r>
    </w:p>
    <w:p>
      <w:pPr>
        <w:pStyle w:val="ListParagraph"/>
        <w:numPr>
          <w:ilvl w:val="0"/>
          <w:numId w:val="1"/>
        </w:numPr>
        <w:spacing w:after="100" w:line="290"/>
        <w:ind w:left="720" w:hanging="360"/>
        <w:jc w:val="both"/>
      </w:pPr>
      <w:r>
        <w:t xml:space="preserve">Hosting, a content management system, backups, TLS certificates, and security patching.</w:t>
      </w:r>
    </w:p>
    <w:p>
      <w:pPr>
        <w:pStyle w:val="ListParagraph"/>
        <w:numPr>
          <w:ilvl w:val="0"/>
          <w:numId w:val="1"/>
        </w:numPr>
        <w:spacing w:after="100" w:line="290"/>
        <w:ind w:left="720" w:hanging="360"/>
        <w:jc w:val="both"/>
      </w:pPr>
      <w:r>
        <w:t xml:space="preserve">A registration and payment platform, plus payment processing fees of roughly three percent, and a means of taking payment in euros and Swedish kronor without punitive conversion costs.</w:t>
      </w:r>
    </w:p>
    <w:p>
      <w:pPr>
        <w:pStyle w:val="ListParagraph"/>
        <w:numPr>
          <w:ilvl w:val="0"/>
          <w:numId w:val="1"/>
        </w:numPr>
        <w:spacing w:after="100" w:line="290"/>
        <w:ind w:left="720" w:hanging="360"/>
        <w:jc w:val="both"/>
      </w:pPr>
      <w:r>
        <w:t xml:space="preserve">A published privacy notice, cookie handling, and a terms-of-participation document.</w:t>
      </w:r>
    </w:p>
    <w:p>
      <w:pPr>
        <w:pStyle w:val="ListParagraph"/>
        <w:numPr>
          <w:ilvl w:val="0"/>
          <w:numId w:val="1"/>
        </w:numPr>
        <w:spacing w:after="100" w:line="290"/>
        <w:ind w:left="720" w:hanging="360"/>
        <w:jc w:val="both"/>
      </w:pPr>
      <w:r>
        <w:t xml:space="preserve">Accessibility. A charity’s public website should meet WCAG 2.1 AA; this is both an obligation and a reputational matter.</w:t>
      </w:r>
    </w:p>
    <w:p>
      <w:pPr>
        <w:pStyle w:val="ListParagraph"/>
        <w:numPr>
          <w:ilvl w:val="0"/>
          <w:numId w:val="1"/>
        </w:numPr>
        <w:spacing w:after="100" w:line="290"/>
        <w:ind w:left="720" w:hanging="360"/>
        <w:jc w:val="both"/>
      </w:pPr>
      <w:r>
        <w:t xml:space="preserve">Someone who will actually keep it current. A neglected independent site is worse than a constrained page on a well-maintained one.</w:t>
      </w:r>
    </w:p>
    <w:p>
      <w:pPr>
        <w:pStyle w:val="Heading1"/>
        <w:spacing w:before="360" w:after="120"/>
        <w:keepNext/>
      </w:pPr>
      <w:r>
        <w:t xml:space="preserve">7. Data protection, and why Sweden makes it sharper</w:t>
      </w:r>
    </w:p>
    <w:p>
      <w:pPr>
        <w:spacing w:after="160" w:line="290"/>
        <w:jc w:val="both"/>
      </w:pPr>
      <w:r>
        <w:t xml:space="preserve">This is the issue most likely to be overlooked entirely, and it is the one where an independent GMC takes on a genuinely new legal obligation rather than merely a new cost.</w:t>
      </w:r>
    </w:p>
    <w:p>
      <w:pPr>
        <w:spacing w:after="160" w:line="290"/>
        <w:jc w:val="both"/>
      </w:pPr>
      <w:r>
        <w:t xml:space="preserve">Running weekends in Sweden and elsewhere in the European Union means processing the personal data of people in the EU, which brings GMC within the reach of the General Data Protection Regulation regardless of where GMC is incorporated. Two features of this program make the obligation heavier than it would be for an ordinary charity:</w:t>
      </w:r>
    </w:p>
    <w:p>
      <w:pPr>
        <w:pStyle w:val="ListParagraph"/>
        <w:numPr>
          <w:ilvl w:val="0"/>
          <w:numId w:val="1"/>
        </w:numPr>
        <w:spacing w:after="100" w:line="290"/>
        <w:ind w:left="720" w:hanging="360"/>
        <w:jc w:val="both"/>
      </w:pPr>
      <w:r>
        <w:rPr>
          <w:b/>
          <w:bCs/>
        </w:rPr>
        <w:t xml:space="preserve">Special category data.</w:t>
      </w:r>
      <w:r>
        <w:t xml:space="preserve"> Registration for a personal-growth weekend typically collects health information — medication, mental health history, emergency contacts, sometimes information touching on sexuality. Article 9 treats this as a special category requiring explicit consent or another narrow basis, with correspondingly strict handling.</w:t>
      </w:r>
    </w:p>
    <w:p>
      <w:pPr>
        <w:pStyle w:val="ListParagraph"/>
        <w:numPr>
          <w:ilvl w:val="0"/>
          <w:numId w:val="1"/>
        </w:numPr>
        <w:spacing w:after="100" w:line="290"/>
        <w:ind w:left="720" w:hanging="360"/>
        <w:jc w:val="both"/>
      </w:pPr>
      <w:r>
        <w:rPr>
          <w:b/>
          <w:bCs/>
        </w:rPr>
        <w:t xml:space="preserve">No EU establishment.</w:t>
      </w:r>
      <w:r>
        <w:t xml:space="preserve"> A US corporation offering services to people in the EU generally must designate a representative in the Union under Article 27, in addition to having a lawful basis for processing, a compliant privacy notice, a retention schedule, a process for handling access and deletion requests, and the ability to notify a supervisory authority of a breach within seventy-two hours.</w:t>
      </w:r>
    </w:p>
    <w:p>
      <w:pPr>
        <w:spacing w:after="160" w:line="290"/>
        <w:jc w:val="both"/>
      </w:pPr>
      <w:r>
        <w:t xml:space="preserve">Today it is likely that MKP, as the entity collecting the data, is the controller and carries this burden </w:t>
      </w:r>
      <w:r>
        <w:rPr>
          <w:b/>
          <w:bCs/>
        </w:rPr>
        <w:t xml:space="preserve">[Confirm]</w:t>
      </w:r>
      <w:r>
        <w:t xml:space="preserve">. If GMC incorporates and takes registrations directly, GMC becomes the controller. This is manageable — many small charities manage it — but it is recurring work requiring a named owner, and it should be costed into the decision rather than discovered afterwards.</w:t>
      </w:r>
    </w:p>
    <w:p>
      <w:pPr>
        <w:pStyle w:val="Heading1"/>
        <w:spacing w:before="360" w:after="120"/>
        <w:keepNext/>
      </w:pPr>
      <w:r>
        <w:t xml:space="preserve">8. Money: revenue, deductibility, and fundraising</w:t>
      </w:r>
    </w:p>
    <w:p>
      <w:pPr>
        <w:pStyle w:val="Heading2"/>
        <w:spacing w:before="240" w:after="100"/>
        <w:keepNext/>
      </w:pPr>
      <w:r>
        <w:t xml:space="preserve">8.1 Under MKP</w:t>
      </w:r>
    </w:p>
    <w:p>
      <w:pPr>
        <w:spacing w:after="160" w:line="290"/>
        <w:jc w:val="both"/>
      </w:pPr>
      <w:r>
        <w:t xml:space="preserve">Program revenue flows through MKP’s accounts, donations are deductible under MKP’s exemption, and MKP files the returns. The questions to answer </w:t>
      </w:r>
      <w:r>
        <w:rPr>
          <w:b/>
          <w:bCs/>
        </w:rPr>
        <w:t xml:space="preserve">[Confirm]</w:t>
      </w:r>
      <w:r>
        <w:t xml:space="preserve"> are what proportion of program revenue MKP retains as an administrative charge, whether GMC can accumulate a reserve earmarked for its own use, whether GMC can solicit and receive restricted gifts for its own work, and what happens to any accumulated balance if the relationship ends.</w:t>
      </w:r>
    </w:p>
    <w:p>
      <w:pPr>
        <w:pStyle w:val="Heading2"/>
        <w:spacing w:before="240" w:after="100"/>
        <w:keepNext/>
      </w:pPr>
      <w:r>
        <w:t xml:space="preserve">8.2 Independent</w:t>
      </w:r>
    </w:p>
    <w:p>
      <w:pPr>
        <w:spacing w:after="160" w:line="290"/>
        <w:jc w:val="both"/>
      </w:pPr>
      <w:r>
        <w:t xml:space="preserve">Independence brings the ability to hold funds, build reserves, issue its own acknowledgements, and apply for grants in its own name — most foundations will not grant to a program that lacks its own determination letter or a fiscal sponsor. It also brings the full compliance calendar set out in the Committee’s existing steps document: Form 990 or 990-EZ annually, FTB Form 199, Attorney General Form RRF-1 with the Registry of Charities and Fundraisers, and the biennial Statement of Information.</w:t>
      </w:r>
    </w:p>
    <w:p>
      <w:pPr>
        <w:spacing w:after="160" w:line="290"/>
        <w:jc w:val="both"/>
      </w:pPr>
      <w:r>
        <w:t xml:space="preserve">Two items deserve specific attention because they are particular to this program:</w:t>
      </w:r>
    </w:p>
    <w:p>
      <w:pPr>
        <w:pStyle w:val="ListParagraph"/>
        <w:numPr>
          <w:ilvl w:val="0"/>
          <w:numId w:val="1"/>
        </w:numPr>
        <w:spacing w:after="100" w:line="290"/>
        <w:ind w:left="720" w:hanging="360"/>
        <w:jc w:val="both"/>
      </w:pPr>
      <w:r>
        <w:rPr>
          <w:b/>
          <w:bCs/>
        </w:rPr>
        <w:t xml:space="preserve">Foreign activity reporting.</w:t>
      </w:r>
      <w:r>
        <w:t xml:space="preserve"> A US charity operating abroad reports those activities on Schedule F of Form 990 once thresholds are met, and must be able to show that funds spent overseas were used for exempt purposes. Payments to foreign individuals or organizations require care in documentation.</w:t>
      </w:r>
    </w:p>
    <w:p>
      <w:pPr>
        <w:pStyle w:val="ListParagraph"/>
        <w:numPr>
          <w:ilvl w:val="0"/>
          <w:numId w:val="1"/>
        </w:numPr>
        <w:spacing w:after="100" w:line="290"/>
        <w:ind w:left="720" w:hanging="360"/>
        <w:jc w:val="both"/>
      </w:pPr>
      <w:r>
        <w:rPr>
          <w:b/>
          <w:bCs/>
        </w:rPr>
        <w:t xml:space="preserve">The California franchise tax trap.</w:t>
      </w:r>
      <w:r>
        <w:t xml:space="preserve"> Until the Franchise Tax Board grants exemption, the corporation can be treated as taxable and exposed to the $800 minimum franchise tax. Filing Form 3500A promptly after the IRS determination arrives is what avoids this.</w:t>
      </w:r>
    </w:p>
    <w:p>
      <w:pPr>
        <w:pStyle w:val="Heading1"/>
        <w:spacing w:before="360" w:after="120"/>
        <w:keepNext/>
      </w:pPr>
      <w:r>
        <w:t xml:space="preserve">9. Brand, curriculum, and intellectual property</w:t>
      </w:r>
    </w:p>
    <w:p>
      <w:pPr>
        <w:pBdr>
          <w:top w:val="single" w:color="1F3864" w:sz="4" w:space="6"/>
          <w:left w:val="single" w:color="1F3864" w:sz="18" w:space="8"/>
          <w:bottom w:val="single" w:color="1F3864" w:sz="4" w:space="6"/>
          <w:right w:val="single" w:color="1F3864" w:sz="4" w:space="6"/>
        </w:pBdr>
        <w:shd w:fill="EEF2F8" w:color="auto" w:val="clear"/>
        <w:spacing w:before="160" w:after="200" w:line="290"/>
        <w:ind w:left="120" w:right="120"/>
        <w:jc w:val="both"/>
      </w:pPr>
      <w:r>
        <w:rPr>
          <w:b/>
          <w:bCs/>
        </w:rPr>
        <w:t xml:space="preserve">This question should be answered before any other.</w:t>
      </w:r>
      <w:r>
        <w:t xml:space="preserve"> If the Gold Mining Circle name, the Gold Mining Adventure name, or the curriculum and training materials are owned by MKP — whether by registration, by prior agreement, or because they were developed by MKP members in the course of MKP work — then Option B is not simply a harder path; it may require renaming the program and rebuilding the materials.</w:t>
      </w:r>
    </w:p>
    <w:p>
      <w:pPr>
        <w:spacing w:after="160" w:line="290"/>
        <w:jc w:val="both"/>
      </w:pPr>
      <w:r>
        <w:t xml:space="preserve">The Committee should establish, in writing and before filing anything: who owns the marks and the program materials; whether any written agreement, member handbook, or volunteer policy assigns rights in program content to MKP; whether MKP would license the names and materials to an independent GMC, on what terms; and whether the marks are registered anywhere, in the United States or in the European Union. Note that incorporating under a name in California confirms only that no other California corporation holds that name — it is not a trademark clearance and it says nothing about rights in Europe.</w:t>
      </w:r>
    </w:p>
    <w:p>
      <w:pPr>
        <w:pStyle w:val="Heading1"/>
        <w:spacing w:before="360" w:after="120"/>
        <w:keepNext/>
      </w:pPr>
      <w:r>
        <w:t xml:space="preserve">10. Administrative cost and effort</w:t>
      </w:r>
    </w:p>
    <w:p>
      <w:pPr>
        <w:spacing w:after="160" w:line="290"/>
        <w:jc w:val="both"/>
      </w:pPr>
      <w:r>
        <w:t xml:space="preserve">The dollar cost of independence is modest. The human cost is not, and it is the more common reason these transitions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800"/>
        <w:gridCol w:w="3000"/>
      </w:tblGrid>
      <w:tr>
        <w:trPr>
          <w:tblHeader/>
        </w:trPr>
        <w:tc>
          <w:tcPr>
            <w:tcW w:type="dxa" w:w="4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Item</w:t>
            </w:r>
          </w:p>
        </w:tc>
        <w:tc>
          <w:tcPr>
            <w:tcW w:type="dxa" w:w="18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One-time</w:t>
            </w:r>
          </w:p>
        </w:tc>
        <w:tc>
          <w:tcPr>
            <w:tcW w:type="dxa" w:w="30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vAlign w:val="top"/>
          </w:tcPr>
          <w:p>
            <w:pPr>
              <w:spacing w:after="0" w:line="270"/>
            </w:pPr>
            <w:r>
              <w:rPr>
                <w:b/>
                <w:bCs/>
                <w:color w:val="FFFFFF"/>
              </w:rPr>
              <w:t xml:space="preserve">Recurring</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California Articles of Incorporation (SOS)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~$30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IRS Form 1023 ($600) or Form 1023-EZ ($275)</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$275–$600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Attorney General registration (Form CT-1)</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$50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Statement of Information (SI-100)</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$20</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$20 every two years</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Legal review of articles, bylaws, conflict policy</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Varies; budget for it</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Trademark search and registration (US, and EU if needed)</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Varies</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Renewals</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Insurance: GL, abuse, professional, D&amp;O, foreign extension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Broker time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The largest recurring item; unknown until quoted</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Bookkeeping and annual return preparation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Annual</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Website hosting, registration platform, payment fees</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Setup</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Monthly, plus ~3% of payments</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GDPR: EU representative, privacy documentation</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Setup</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Annual</w:t>
            </w:r>
          </w:p>
        </w:tc>
      </w:tr>
      <w:tr>
        <w:tc>
          <w:tcPr>
            <w:tcW w:type="dxa" w:w="456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Registered agent, if not a volunteer</w:t>
            </w:r>
          </w:p>
        </w:tc>
        <w:tc>
          <w:tcPr>
            <w:tcW w:type="dxa" w:w="18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w:t>
            </w:r>
          </w:p>
        </w:tc>
        <w:tc>
          <w:tcPr>
            <w:tcW w:type="dxa" w:w="3000"/>
            <w:tcBorders>
              <w:top w:val="single" w:color="BFBFBF" w:sz="4"/>
              <w:left w:val="single" w:color="BFBFBF" w:sz="4"/>
              <w:bottom w:val="single" w:color="BFBFBF" w:sz="4"/>
              <w:right w:val="single" w:color="BFBFBF" w:sz="4"/>
            </w:tcBorders>
            <w:tcMar>
              <w:top w:type="dxa" w:w="80"/>
              <w:left w:type="dxa" w:w="110"/>
              <w:bottom w:type="dxa" w:w="80"/>
              <w:right w:type="dxa" w:w="110"/>
            </w:tcMar>
            <w:vAlign w:val="top"/>
          </w:tcPr>
          <w:p>
            <w:pPr>
              <w:spacing w:after="0" w:line="270"/>
            </w:pPr>
            <w:r>
              <w:t xml:space="preserve">Annual</w:t>
            </w:r>
          </w:p>
        </w:tc>
      </w:tr>
    </w:tbl>
    <w:p>
      <w:pPr>
        <w:spacing w:after="120"/>
      </w:pPr>
    </w:p>
    <w:p>
      <w:pPr>
        <w:spacing w:after="160" w:line="290"/>
        <w:jc w:val="both"/>
      </w:pPr>
      <w:r>
        <w:t xml:space="preserve">The recurring obligation that matters most is not any line in that table. It is that someone must reliably keep minutes, reconcile a bank account, file three or four returns a year on time, and renew the insurance. Three consecutive missed Form 990 filings means automatic revocation of exemption, and a lapsed Attorney General registration can cost the state exemption as well. If the Committee cannot name the person who will do this work in year three, that is an argument for Option A or Option C, not a detail to resolve later.</w:t>
      </w:r>
    </w:p>
    <w:p>
      <w:pPr>
        <w:pStyle w:val="Heading1"/>
        <w:spacing w:before="360" w:after="120"/>
        <w:keepNext/>
      </w:pPr>
      <w:r>
        <w:t xml:space="preserve">11. International operations</w:t>
      </w:r>
    </w:p>
    <w:p>
      <w:pPr>
        <w:spacing w:after="160" w:line="290"/>
        <w:jc w:val="both"/>
      </w:pPr>
      <w:r>
        <w:t xml:space="preserve">GMC already operates in Sweden and elsewhere, and this is where the MKP relationship carries the most weight. Incorporating in California does not by itself create any ability to operate in Sweden; it only changes which entity is doing so. The realistic structures are:</w:t>
      </w:r>
    </w:p>
    <w:p>
      <w:pPr>
        <w:pStyle w:val="ListParagraph"/>
        <w:numPr>
          <w:ilvl w:val="0"/>
          <w:numId w:val="3"/>
        </w:numPr>
        <w:spacing w:after="100" w:line="290"/>
        <w:jc w:val="both"/>
      </w:pPr>
      <w:r>
        <w:rPr>
          <w:b/>
          <w:bCs/>
        </w:rPr>
        <w:t xml:space="preserve">Deliver through the local MKP affiliate</w:t>
      </w:r>
      <w:r>
        <w:t xml:space="preserve">, which keeps local presence, local insurance, and local volunteers, but keeps the dependence that independence is meant to end.</w:t>
      </w:r>
    </w:p>
    <w:p>
      <w:pPr>
        <w:pStyle w:val="ListParagraph"/>
        <w:numPr>
          <w:ilvl w:val="0"/>
          <w:numId w:val="3"/>
        </w:numPr>
        <w:spacing w:after="100" w:line="290"/>
        <w:jc w:val="both"/>
      </w:pPr>
      <w:r>
        <w:rPr>
          <w:b/>
          <w:bCs/>
        </w:rPr>
        <w:t xml:space="preserve">Form a local entity</w:t>
      </w:r>
      <w:r>
        <w:t xml:space="preserve"> — in Sweden, typically an ideell förening — which can hold local insurance, take payment in kronor, and contract with venues, at the cost of a second set of governance and filings in a second language.</w:t>
      </w:r>
    </w:p>
    <w:p>
      <w:pPr>
        <w:pStyle w:val="ListParagraph"/>
        <w:numPr>
          <w:ilvl w:val="0"/>
          <w:numId w:val="3"/>
        </w:numPr>
        <w:spacing w:after="100" w:line="290"/>
        <w:jc w:val="both"/>
      </w:pPr>
      <w:r>
        <w:rPr>
          <w:b/>
          <w:bCs/>
        </w:rPr>
        <w:t xml:space="preserve">Operate as a US entity with local contracts</w:t>
      </w:r>
      <w:r>
        <w:t xml:space="preserve">, carrying foreign liability coverage and contracting directly with venues and leaders. Simplest on paper, but venues and local regulators may not accept a US certificate of insurance, and the tax and VAT treatment of event fees needs local advice.</w:t>
      </w:r>
    </w:p>
    <w:p>
      <w:pPr>
        <w:spacing w:after="160" w:line="290"/>
        <w:jc w:val="both"/>
      </w:pPr>
      <w:r>
        <w:t xml:space="preserve">Whichever is chosen, the point stands: </w:t>
      </w:r>
      <w:r>
        <w:rPr>
          <w:b/>
          <w:bCs/>
        </w:rPr>
        <w:t xml:space="preserve">independence does not remove the need for local structure; it relocates it onto GMC, potentially once per country.</w:t>
      </w:r>
      <w:r>
        <w:t xml:space="preserve"> An organization operating in several countries with volunteer administration should be honest about how many parallel structures it can actually sustain.</w:t>
      </w:r>
    </w:p>
    <w:p>
      <w:pPr>
        <w:pStyle w:val="Heading1"/>
        <w:spacing w:before="360" w:after="120"/>
        <w:keepNext/>
      </w:pPr>
      <w:r>
        <w:t xml:space="preserve">12. The transition itself</w:t>
      </w:r>
    </w:p>
    <w:p>
      <w:pPr>
        <w:spacing w:after="160" w:line="290"/>
        <w:jc w:val="both"/>
      </w:pPr>
      <w:r>
        <w:t xml:space="preserve">The comparison above treats the two states as static. The move between them is its own project, and its risks are real: an acrimonious separation can cost GMC the volunteers who are also MKP members, the referral pipeline, and access to communities abroad. A separation negotiated in good faith, with notice and a transition period during which MKP continues to insure weekends already scheduled, costs far less.</w:t>
      </w:r>
    </w:p>
    <w:p>
      <w:pPr>
        <w:spacing w:after="160" w:line="290"/>
        <w:jc w:val="both"/>
      </w:pPr>
      <w:r>
        <w:t xml:space="preserve">Practically, this argues for sequencing rather than a clean break: form the corporation and obtain the exemption first, because those take months and cost little, while continuing to deliver weekends under the existing arrangement. Move program delivery across only when insurance is actually bound and the intellectual property position is settled.</w:t>
      </w:r>
    </w:p>
    <w:p>
      <w:pPr>
        <w:pStyle w:val="Heading1"/>
        <w:spacing w:before="360" w:after="120"/>
        <w:keepNext/>
      </w:pPr>
      <w:r>
        <w:t xml:space="preserve">13. Recommendation</w:t>
      </w:r>
    </w:p>
    <w:p>
      <w:pPr>
        <w:pBdr>
          <w:top w:val="single" w:color="1F3864" w:sz="4" w:space="6"/>
          <w:left w:val="single" w:color="1F3864" w:sz="18" w:space="8"/>
          <w:bottom w:val="single" w:color="1F3864" w:sz="4" w:space="6"/>
          <w:right w:val="single" w:color="1F3864" w:sz="4" w:space="6"/>
        </w:pBdr>
        <w:shd w:fill="EEF2F8" w:color="auto" w:val="clear"/>
        <w:spacing w:before="160" w:after="200" w:line="290"/>
        <w:ind w:left="120" w:right="120"/>
        <w:jc w:val="both"/>
      </w:pPr>
      <w:r>
        <w:rPr>
          <w:b/>
          <w:bCs/>
        </w:rPr>
        <w:t xml:space="preserve">Continue the incorporation work, but do not end the MKP relationship until insurance is bound and the intellectual property question is answered in writing.</w:t>
      </w:r>
      <w:r>
        <w:t xml:space="preserve"> In other words, pursue Option C as the working plan, holding Option B open as the destination and Option A as the fallback if the insurance market says no.</w:t>
      </w:r>
    </w:p>
    <w:p>
      <w:pPr>
        <w:spacing w:after="160" w:line="290"/>
        <w:jc w:val="both"/>
      </w:pPr>
      <w:r>
        <w:t xml:space="preserve">The reasoning is as follows.</w:t>
      </w:r>
    </w:p>
    <w:p>
      <w:pPr>
        <w:pStyle w:val="ListParagraph"/>
        <w:numPr>
          <w:ilvl w:val="0"/>
          <w:numId w:val="1"/>
        </w:numPr>
        <w:spacing w:after="100" w:line="290"/>
        <w:ind w:left="720" w:hanging="360"/>
        <w:jc w:val="both"/>
      </w:pPr>
      <w:r>
        <w:rPr>
          <w:b/>
          <w:bCs/>
        </w:rPr>
        <w:t xml:space="preserve">Incorporating is cheap, slow, and reversible in effect.</w:t>
      </w:r>
      <w:r>
        <w:t xml:space="preserve"> The filing fees are trivial against the value of the option, and the IRS determination can take months, so starting now costs little and preserves flexibility. A corporation that exists and holds an exemption can always choose to keep delivering weekends under an MKP agreement.</w:t>
      </w:r>
    </w:p>
    <w:p>
      <w:pPr>
        <w:pStyle w:val="ListParagraph"/>
        <w:numPr>
          <w:ilvl w:val="0"/>
          <w:numId w:val="1"/>
        </w:numPr>
        <w:spacing w:after="100" w:line="290"/>
        <w:ind w:left="720" w:hanging="360"/>
        <w:jc w:val="both"/>
      </w:pPr>
      <w:r>
        <w:rPr>
          <w:b/>
          <w:bCs/>
        </w:rPr>
        <w:t xml:space="preserve">Ending the MKP relationship is neither cheap nor reversible.</w:t>
      </w:r>
      <w:r>
        <w:t xml:space="preserve"> Insurance and international reach are the two things that are hard to reproduce, and both are supplied by that relationship today. Giving them up before replacements are secured converts a governance question into an exposure.</w:t>
      </w:r>
    </w:p>
    <w:p>
      <w:pPr>
        <w:pStyle w:val="ListParagraph"/>
        <w:numPr>
          <w:ilvl w:val="0"/>
          <w:numId w:val="1"/>
        </w:numPr>
        <w:spacing w:after="100" w:line="290"/>
        <w:ind w:left="720" w:hanging="360"/>
        <w:jc w:val="both"/>
      </w:pPr>
      <w:r>
        <w:rPr>
          <w:b/>
          <w:bCs/>
        </w:rPr>
        <w:t xml:space="preserve">The website, the list, and the money are worth having independently, and can be taken first.</w:t>
      </w:r>
      <w:r>
        <w:t xml:space="preserve"> Standing up GMC’s own site, registration flow, mailing list, and bank account does not require severing anything, and it removes most of the day-to-day frustration that is driving the question.</w:t>
      </w:r>
    </w:p>
    <w:p>
      <w:pPr>
        <w:pStyle w:val="ListParagraph"/>
        <w:numPr>
          <w:ilvl w:val="0"/>
          <w:numId w:val="1"/>
        </w:numPr>
        <w:spacing w:after="100" w:line="290"/>
        <w:ind w:left="720" w:hanging="360"/>
        <w:jc w:val="both"/>
      </w:pPr>
      <w:r>
        <w:rPr>
          <w:b/>
          <w:bCs/>
        </w:rPr>
        <w:t xml:space="preserve">The insurance market will effectively make this decision.</w:t>
      </w:r>
      <w:r>
        <w:t xml:space="preserve"> If abuse liability with a foreign extension can be bound at a price GMC can carry, full independence is viable. If carriers decline or price it beyond reach, that is a decisive argument for staying affiliated, and no amount of enthusiasm for autonomy changes it.</w:t>
      </w:r>
    </w:p>
    <w:p>
      <w:pPr>
        <w:spacing w:after="160" w:line="290"/>
        <w:jc w:val="both"/>
      </w:pPr>
      <w:r>
        <w:t xml:space="preserve">The honest summary is that the case for independence is strongest on governance, brand, website, and fundraising, and weakest on insurance and international reach. Option C is attractive precisely because it takes the first set now and defers the second until they can be afforded.</w:t>
      </w:r>
    </w:p>
    <w:p>
      <w:pPr>
        <w:pStyle w:val="Heading1"/>
        <w:spacing w:before="360" w:after="120"/>
        <w:keepNext/>
      </w:pPr>
      <w:r>
        <w:t xml:space="preserve">14. Questions that need answers before deciding</w:t>
      </w:r>
    </w:p>
    <w:p>
      <w:pPr>
        <w:pStyle w:val="Heading2"/>
        <w:spacing w:before="240" w:after="100"/>
        <w:keepNext/>
      </w:pPr>
      <w:r>
        <w:t xml:space="preserve">14.1 To MKP, in writing</w:t>
      </w:r>
    </w:p>
    <w:p>
      <w:pPr>
        <w:pStyle w:val="ListParagraph"/>
        <w:numPr>
          <w:ilvl w:val="0"/>
          <w:numId w:val="4"/>
        </w:numPr>
        <w:spacing w:after="100" w:line="290"/>
        <w:jc w:val="both"/>
      </w:pPr>
      <w:r>
        <w:t xml:space="preserve">Who owns the Gold Mining Circle and Gold Mining Adventure names and the program curriculum and materials? Are any marks registered, in the US or the EU?</w:t>
      </w:r>
    </w:p>
    <w:p>
      <w:pPr>
        <w:pStyle w:val="ListParagraph"/>
        <w:numPr>
          <w:ilvl w:val="0"/>
          <w:numId w:val="4"/>
        </w:numPr>
        <w:spacing w:after="100" w:line="290"/>
        <w:jc w:val="both"/>
      </w:pPr>
      <w:r>
        <w:t xml:space="preserve">Would MKP license those names and materials to an independent GMC, and on what terms?</w:t>
      </w:r>
    </w:p>
    <w:p>
      <w:pPr>
        <w:pStyle w:val="ListParagraph"/>
        <w:numPr>
          <w:ilvl w:val="0"/>
          <w:numId w:val="4"/>
        </w:numPr>
        <w:spacing w:after="100" w:line="290"/>
        <w:jc w:val="both"/>
      </w:pPr>
      <w:r>
        <w:t xml:space="preserve">What are the limits, named insureds, and exclusions on the liability policy covering GMC weekends? Is sexual abuse and molestation coverage included, and at what limit?</w:t>
      </w:r>
    </w:p>
    <w:p>
      <w:pPr>
        <w:pStyle w:val="ListParagraph"/>
        <w:numPr>
          <w:ilvl w:val="0"/>
          <w:numId w:val="4"/>
        </w:numPr>
        <w:spacing w:after="100" w:line="290"/>
        <w:jc w:val="both"/>
      </w:pPr>
      <w:r>
        <w:t xml:space="preserve">Are individual GMC leaders and volunteers insureds under that policy, or only beneficiaries of MKP’s defense? Would MKP defend a leader named personally?</w:t>
      </w:r>
    </w:p>
    <w:p>
      <w:pPr>
        <w:pStyle w:val="ListParagraph"/>
        <w:numPr>
          <w:ilvl w:val="0"/>
          <w:numId w:val="4"/>
        </w:numPr>
        <w:spacing w:after="100" w:line="290"/>
        <w:jc w:val="both"/>
      </w:pPr>
      <w:r>
        <w:t xml:space="preserve">Exactly which countries and regions are covered, and what has to be true of a weekend for coverage to attach?</w:t>
      </w:r>
    </w:p>
    <w:p>
      <w:pPr>
        <w:pStyle w:val="ListParagraph"/>
        <w:numPr>
          <w:ilvl w:val="0"/>
          <w:numId w:val="4"/>
        </w:numPr>
        <w:spacing w:after="100" w:line="290"/>
        <w:jc w:val="both"/>
      </w:pPr>
      <w:r>
        <w:t xml:space="preserve">What proportion of program revenue does MKP retain? May GMC hold a designated reserve, and what happens to it if the relationship ends?</w:t>
      </w:r>
    </w:p>
    <w:p>
      <w:pPr>
        <w:pStyle w:val="ListParagraph"/>
        <w:numPr>
          <w:ilvl w:val="0"/>
          <w:numId w:val="4"/>
        </w:numPr>
        <w:spacing w:after="100" w:line="290"/>
        <w:jc w:val="both"/>
      </w:pPr>
      <w:r>
        <w:t xml:space="preserve">Who is the data controller for participant registration data, and may GMC obtain a copy of its participant and prospect list?</w:t>
      </w:r>
    </w:p>
    <w:p>
      <w:pPr>
        <w:pStyle w:val="ListParagraph"/>
        <w:numPr>
          <w:ilvl w:val="0"/>
          <w:numId w:val="4"/>
        </w:numPr>
        <w:spacing w:after="100" w:line="290"/>
        <w:jc w:val="both"/>
      </w:pPr>
      <w:r>
        <w:t xml:space="preserve">What are the actual constraints on the website — what can GMC change itself, what requires MKP staff, and what is the current turnaround?</w:t>
      </w:r>
    </w:p>
    <w:p>
      <w:pPr>
        <w:pStyle w:val="ListParagraph"/>
        <w:numPr>
          <w:ilvl w:val="0"/>
          <w:numId w:val="4"/>
        </w:numPr>
        <w:spacing w:after="100" w:line="290"/>
        <w:jc w:val="both"/>
      </w:pPr>
      <w:r>
        <w:t xml:space="preserve">Would MKP continue to insure already-scheduled weekends during a defined transition period?</w:t>
      </w:r>
    </w:p>
    <w:p>
      <w:pPr>
        <w:pStyle w:val="Heading2"/>
        <w:spacing w:before="240" w:after="100"/>
        <w:keepNext/>
      </w:pPr>
      <w:r>
        <w:t xml:space="preserve">14.2 To an insurance broker</w:t>
      </w:r>
    </w:p>
    <w:p>
      <w:pPr>
        <w:pStyle w:val="ListParagraph"/>
        <w:numPr>
          <w:ilvl w:val="0"/>
          <w:numId w:val="5"/>
        </w:numPr>
        <w:spacing w:after="100" w:line="290"/>
        <w:jc w:val="both"/>
      </w:pPr>
      <w:r>
        <w:t xml:space="preserve">Indicative premiums for general liability, sexual abuse and molestation liability, professional liability, and D&amp;O, for a volunteer-led residential personal-growth program for adults.</w:t>
      </w:r>
    </w:p>
    <w:p>
      <w:pPr>
        <w:pStyle w:val="ListParagraph"/>
        <w:numPr>
          <w:ilvl w:val="0"/>
          <w:numId w:val="5"/>
        </w:numPr>
        <w:spacing w:after="100" w:line="290"/>
        <w:jc w:val="both"/>
      </w:pPr>
      <w:r>
        <w:t xml:space="preserve">What is required to make the risk acceptable — screening, background checks, two-deep leadership, written incident and grievance procedures, participant health screening?</w:t>
      </w:r>
    </w:p>
    <w:p>
      <w:pPr>
        <w:pStyle w:val="ListParagraph"/>
        <w:numPr>
          <w:ilvl w:val="0"/>
          <w:numId w:val="5"/>
        </w:numPr>
        <w:spacing w:after="100" w:line="290"/>
        <w:jc w:val="both"/>
      </w:pPr>
      <w:r>
        <w:t xml:space="preserve">How is coverage extended to weekends in Sweden and elsewhere in the EU, and will European venues accept the resulting certificate?</w:t>
      </w:r>
    </w:p>
    <w:p>
      <w:pPr>
        <w:pStyle w:val="ListParagraph"/>
        <w:numPr>
          <w:ilvl w:val="0"/>
          <w:numId w:val="5"/>
        </w:numPr>
        <w:spacing w:after="100" w:line="290"/>
        <w:jc w:val="both"/>
      </w:pPr>
      <w:r>
        <w:t xml:space="preserve">Whether a newly formed corporation with no claims history can be written at all, and what difference a fiscal sponsor or an MKP affiliation would make to the answer.</w:t>
      </w:r>
    </w:p>
    <w:p>
      <w:pPr>
        <w:pStyle w:val="Heading2"/>
        <w:spacing w:before="240" w:after="100"/>
        <w:keepNext/>
      </w:pPr>
      <w:r>
        <w:t xml:space="preserve">14.3 To the Committee itself</w:t>
      </w:r>
    </w:p>
    <w:p>
      <w:pPr>
        <w:pStyle w:val="ListParagraph"/>
        <w:numPr>
          <w:ilvl w:val="0"/>
          <w:numId w:val="6"/>
        </w:numPr>
        <w:spacing w:after="100" w:line="290"/>
        <w:jc w:val="both"/>
      </w:pPr>
      <w:r>
        <w:t xml:space="preserve">Who will serve as treasurer and secretary, and will they still be doing it in year three?</w:t>
      </w:r>
    </w:p>
    <w:p>
      <w:pPr>
        <w:pStyle w:val="ListParagraph"/>
        <w:numPr>
          <w:ilvl w:val="0"/>
          <w:numId w:val="6"/>
        </w:numPr>
        <w:spacing w:after="100" w:line="290"/>
        <w:jc w:val="both"/>
      </w:pPr>
      <w:r>
        <w:t xml:space="preserve">What is the expected annual revenue? This determines Form 1023 versus 1023-EZ and whether independent insurance is affordable at all.</w:t>
      </w:r>
    </w:p>
    <w:p>
      <w:pPr>
        <w:pStyle w:val="ListParagraph"/>
        <w:numPr>
          <w:ilvl w:val="0"/>
          <w:numId w:val="6"/>
        </w:numPr>
        <w:spacing w:after="100" w:line="290"/>
        <w:jc w:val="both"/>
      </w:pPr>
      <w:r>
        <w:t xml:space="preserve">Is there a strategic goal — grant funding, a different program direction, governance the members control — that genuinely requires independence, or is the motivation chiefly frustration with the website and with process latency? If it is the latter, Section 6 and an affiliation agreement may resolve it at a fraction of the cost.</w:t>
      </w:r>
    </w:p>
    <w:p>
      <w:pPr>
        <w:pStyle w:val="Heading1"/>
        <w:spacing w:before="360" w:after="120"/>
        <w:keepNext/>
      </w:pPr>
      <w:r>
        <w:t xml:space="preserve">15. Suggested next steps</w:t>
      </w:r>
    </w:p>
    <w:p>
      <w:pPr>
        <w:pStyle w:val="ListParagraph"/>
        <w:numPr>
          <w:ilvl w:val="0"/>
          <w:numId w:val="7"/>
        </w:numPr>
        <w:spacing w:after="100" w:line="290"/>
        <w:jc w:val="both"/>
      </w:pPr>
      <w:r>
        <w:rPr>
          <w:b/>
          <w:bCs/>
        </w:rPr>
        <w:t xml:space="preserve">Before the September 24 meeting:</w:t>
      </w:r>
      <w:r>
        <w:t xml:space="preserve"> circulate this paper and the question list in Section 14.</w:t>
      </w:r>
    </w:p>
    <w:p>
      <w:pPr>
        <w:pStyle w:val="ListParagraph"/>
        <w:numPr>
          <w:ilvl w:val="0"/>
          <w:numId w:val="7"/>
        </w:numPr>
        <w:spacing w:after="100" w:line="290"/>
        <w:jc w:val="both"/>
      </w:pPr>
      <w:r>
        <w:rPr>
          <w:b/>
          <w:bCs/>
        </w:rPr>
        <w:t xml:space="preserve">At the meeting:</w:t>
      </w:r>
      <w:r>
        <w:t xml:space="preserve"> agree that incorporation work continues, and agree explicitly that separation from MKP is a separate decision to be taken later, on evidence.</w:t>
      </w:r>
    </w:p>
    <w:p>
      <w:pPr>
        <w:pStyle w:val="ListParagraph"/>
        <w:numPr>
          <w:ilvl w:val="0"/>
          <w:numId w:val="7"/>
        </w:numPr>
        <w:spacing w:after="100" w:line="290"/>
        <w:jc w:val="both"/>
      </w:pPr>
      <w:r>
        <w:rPr>
          <w:b/>
          <w:bCs/>
        </w:rPr>
        <w:t xml:space="preserve">Within 30 days:</w:t>
      </w:r>
      <w:r>
        <w:t xml:space="preserve"> send the written questions to MKP; obtain indicative insurance quotes; run a trademark search on the Gold Mining Circle name in the US and EU.</w:t>
      </w:r>
    </w:p>
    <w:p>
      <w:pPr>
        <w:pStyle w:val="ListParagraph"/>
        <w:numPr>
          <w:ilvl w:val="0"/>
          <w:numId w:val="7"/>
        </w:numPr>
        <w:spacing w:after="100" w:line="290"/>
        <w:jc w:val="both"/>
      </w:pPr>
      <w:r>
        <w:rPr>
          <w:b/>
          <w:bCs/>
        </w:rPr>
        <w:t xml:space="preserve">Within 60 days:</w:t>
      </w:r>
      <w:r>
        <w:t xml:space="preserve"> file the Articles and apply for the EIN; begin the Form 1023; stand up GMC’s own website, registration flow, and mailing list, which does not require separation.</w:t>
      </w:r>
    </w:p>
    <w:p>
      <w:pPr>
        <w:pStyle w:val="ListParagraph"/>
        <w:numPr>
          <w:ilvl w:val="0"/>
          <w:numId w:val="7"/>
        </w:numPr>
        <w:spacing w:after="100" w:line="290"/>
        <w:jc w:val="both"/>
      </w:pPr>
      <w:r>
        <w:rPr>
          <w:b/>
          <w:bCs/>
        </w:rPr>
        <w:t xml:space="preserve">When the insurance quotes and MKP’s answers are in hand:</w:t>
      </w:r>
      <w:r>
        <w:t xml:space="preserve"> bring the Option B versus Option C decision back to the Committee with real numbers.</w:t>
      </w:r>
    </w:p>
    <w:p>
      <w:pPr>
        <w:pStyle w:val="Heading1"/>
        <w:spacing w:before="360" w:after="120"/>
        <w:keepNext/>
      </w:pPr>
      <w:r>
        <w:t xml:space="preserve">16. Limitations of this paper</w:t>
      </w:r>
    </w:p>
    <w:p>
      <w:pPr>
        <w:spacing w:after="160" w:line="290"/>
        <w:jc w:val="both"/>
      </w:pPr>
      <w:r>
        <w:t xml:space="preserve">This is general information for discussion, not legal, tax, or insurance advice. The items marked [Confirm] are assumptions, not findings. Before the Committee acts on the insurance analysis it should speak with a broker who writes nonprofit human-services risks; before it acts on the intellectual property analysis it should have counsel review any existing agreements with MKP; and before filing the Form 1023 it should have a California nonprofit attorney review the articles, bylaws, and conflict-of-interest policy. The GDPR discussion in Section 7 should be confirmed with someone qualified in EU data protection law before GMC takes registrations directly from participants in Europe.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GMC — MKP vs. Independent 501(c)(3) — DRAFT FOR STEERING COMMITTEE — Page </w:t>
    </w:r>
    <w:r>
      <w:rPr>
        <w:color w:val="808080"/>
        <w:sz w:val="18"/>
        <w:szCs w:val="18"/>
      </w:rPr>
      <w:fldChar w:fldCharType="begin"/>
    </w:r>
    <w:r>
      <w:rPr>
        <w:color w:val="808080"/>
        <w:sz w:val="18"/>
        <w:szCs w:val="18"/>
      </w:rPr>
      <w:instrText xml:space="preserve"> PAGE </w:instrText>
    </w:r>
    <w:r>
      <w:rPr>
        <w:color w:val="808080"/>
        <w:sz w:val="18"/>
        <w:szCs w:val="18"/>
      </w:rPr>
      <w:fldChar w:fldCharType="separate"/>
    </w:r>
    <w:r>
      <w:rPr>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440"/>
      </w:pPr>
    </w:lvl>
    <w:lvl w:ilvl="1" w15:tentative="1">
      <w:start w:val="1"/>
      <w:numFmt w:val="bullet"/>
      <w:lvlText w:val="•"/>
      <w:lvlJc w:val="left"/>
      <w:pPr>
        <w:ind w:left="88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36"/>
      <w:szCs w:val="36"/>
    </w:rPr>
  </w:style>
  <w:style w:type="paragraph" w:styleId="Heading1">
    <w:name w:val="Heading 1"/>
    <w:basedOn w:val="Normal"/>
    <w:next w:val="Normal"/>
    <w:qFormat/>
    <w:pPr>
      <w:spacing w:after="120" w:before="280"/>
      <w:outlineLvl w:val="0"/>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2026-09-17T01:54:31.967Z</dcterms:created>
  <dcterms:modified xsi:type="dcterms:W3CDTF">2026-09-17T01:54:31.975Z</dcterms:modified>
</cp:coreProperties>
</file>

<file path=docProps/custom.xml><?xml version="1.0" encoding="utf-8"?>
<Properties xmlns="http://schemas.openxmlformats.org/officeDocument/2006/custom-properties" xmlns:vt="http://schemas.openxmlformats.org/officeDocument/2006/docPropsVTypes"/>
</file>