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4B5" w:sz="6"/>
        </w:pBdr>
        <w:spacing w:after="160" w:before="0"/>
      </w:pPr>
      <w:r>
        <w:rPr>
          <w:rFonts w:ascii="Calibri" w:cs="Calibri" w:eastAsia="Calibri" w:hAnsi="Calibri"/>
          <w:b/>
          <w:bCs/>
          <w:color w:val="2E74B5"/>
          <w:sz w:val="40"/>
          <w:szCs w:val="40"/>
        </w:rPr>
        <w:t xml:space="preserve">SmlPart</w:t>
      </w:r>
    </w:p>
    <w:p>
      <w:pPr>
        <w:spacing w:after="120"/>
      </w:pPr>
      <w:r>
        <w:rPr>
          <w:rFonts w:ascii="Calibri" w:cs="Calibri" w:eastAsia="Calibri" w:hAnsi="Calibri"/>
          <w:b/>
          <w:bCs/>
          <w:color w:val="595959"/>
          <w:sz w:val="18"/>
          <w:szCs w:val="18"/>
        </w:rPr>
        <w:t xml:space="preserve">Inheritance: </w:t>
      </w:r>
      <w:r>
        <w:rPr>
          <w:rFonts w:ascii="Consolas" w:cs="Consolas" w:eastAsia="Consolas" w:hAnsi="Consolas"/>
          <w:color w:val="2F2F2F"/>
          <w:sz w:val="18"/>
          <w:szCs w:val="18"/>
        </w:rPr>
        <w:t xml:space="preserve">OpenXmlPart → SmlPart</w:t>
      </w:r>
    </w:p>
    <w:p>
      <w:pPr>
        <w:spacing w:after="80"/>
      </w:pPr>
      <w:r>
        <w:rPr>
          <w:rFonts w:ascii="Calibri" w:cs="Calibri" w:eastAsia="Calibri" w:hAnsi="Calibri"/>
          <w:b w:val="false"/>
          <w:bCs w:val="false"/>
          <w:i w:val="false"/>
          <w:iCs w:val="false"/>
          <w:color w:val="2F2F2F"/>
          <w:sz w:val="20"/>
          <w:szCs w:val="20"/>
        </w:rPr>
        <w:t xml:space="preserve">SmlPart extends OpenXmlPart with convenience methods for navigating Excel-specific sub-parts. These methods look up related parts by their standard relationship types, returning strongly-typed SmlPart instances.</w:t>
      </w:r>
    </w:p>
    <w:p>
      <w:pPr>
        <w:spacing w:after="80"/>
      </w:pPr>
      <w:r>
        <w:rPr>
          <w:rFonts w:ascii="Calibri" w:cs="Calibri" w:eastAsia="Calibri" w:hAnsi="Calibri"/>
          <w:b w:val="false"/>
          <w:bCs w:val="false"/>
          <w:i w:val="false"/>
          <w:iCs w:val="false"/>
          <w:color w:val="2F2F2F"/>
          <w:sz w:val="20"/>
          <w:szCs w:val="20"/>
        </w:rPr>
        <w:t xml:space="preserve">All methods inherited from OpenXmlPart are also available on SmlPart.</w:t>
      </w:r>
    </w:p>
    <w:p>
      <w:pPr>
        <w:pBdr>
          <w:bottom w:val="single" w:color="CCCCCC" w:sz="2"/>
        </w:pBdr>
        <w:spacing w:after="60" w:before="200"/>
      </w:pPr>
      <w:r>
        <w:rPr>
          <w:rFonts w:ascii="Consolas" w:cs="Consolas" w:eastAsia="Consolas" w:hAnsi="Consolas"/>
          <w:b/>
          <w:bCs/>
          <w:color w:val="2F2F2F"/>
          <w:sz w:val="24"/>
          <w:szCs w:val="24"/>
        </w:rPr>
        <w:t xml:space="preserve">calculationChainPart</w:t>
      </w:r>
      <w:r>
        <w:t xml:space="preserve">  </w:t>
      </w:r>
      <w:r>
        <w:rPr>
          <w:rFonts w:ascii="Calibri" w:cs="Calibri" w:eastAsia="Calibri" w:hAnsi="Calibri"/>
          <w:b/>
          <w:bCs/>
          <w:color w:val="FFFFFF"/>
          <w:sz w:val="16"/>
          <w:szCs w:val="16"/>
          <w:shd w:fill="375623" w:val="clear"/>
        </w:rPr>
        <w:t xml:space="preserve"> method </w:t>
      </w:r>
    </w:p>
    <w:p>
      <w:pPr>
        <w:spacing w:after="80"/>
      </w:pPr>
      <w:r>
        <w:rPr>
          <w:rFonts w:ascii="Calibri" w:cs="Calibri" w:eastAsia="Calibri" w:hAnsi="Calibri"/>
          <w:b w:val="false"/>
          <w:bCs w:val="false"/>
          <w:i w:val="false"/>
          <w:iCs w:val="false"/>
          <w:color w:val="2F2F2F"/>
          <w:sz w:val="20"/>
          <w:szCs w:val="20"/>
        </w:rPr>
        <w:t xml:space="preserve">Returns the calculation chain part (calcChain.xml) that defines the order in which cells are calculated.</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async calculationChainPart(): Promise&lt;SmlPart | undefined&gt;</w:t>
      </w:r>
    </w:p>
    <w:p>
      <w:pPr>
        <w:spacing w:after="60"/>
      </w:pPr>
    </w:p>
    <w:p>
      <w:pPr>
        <w:spacing w:after="40" w:before="100"/>
      </w:pPr>
      <w:r>
        <w:rPr>
          <w:rFonts w:ascii="Calibri" w:cs="Calibri" w:eastAsia="Calibri" w:hAnsi="Calibri"/>
          <w:b/>
          <w:bCs/>
          <w:color w:val="2F2F2F"/>
          <w:sz w:val="20"/>
          <w:szCs w:val="20"/>
        </w:rPr>
        <w:t xml:space="preserve">Returns</w:t>
      </w:r>
    </w:p>
    <w:p>
      <w:pPr>
        <w:spacing w:after="80"/>
      </w:pPr>
      <w:r>
        <w:rPr>
          <w:rFonts w:ascii="Calibri" w:cs="Calibri" w:eastAsia="Calibri" w:hAnsi="Calibri"/>
          <w:b w:val="false"/>
          <w:bCs w:val="false"/>
          <w:i w:val="false"/>
          <w:iCs w:val="false"/>
          <w:color w:val="2F2F2F"/>
          <w:sz w:val="20"/>
          <w:szCs w:val="20"/>
        </w:rPr>
        <w:t xml:space="preserve">Promise&lt;SmlPart | undefined&gt; — the calculation chain part, or undefined.</w:t>
      </w:r>
    </w:p>
    <w:p>
      <w:pPr>
        <w:pBdr>
          <w:bottom w:val="single" w:color="CCCCCC" w:sz="2"/>
        </w:pBdr>
        <w:spacing w:after="60" w:before="200"/>
      </w:pPr>
      <w:r>
        <w:rPr>
          <w:rFonts w:ascii="Consolas" w:cs="Consolas" w:eastAsia="Consolas" w:hAnsi="Consolas"/>
          <w:b/>
          <w:bCs/>
          <w:color w:val="2F2F2F"/>
          <w:sz w:val="24"/>
          <w:szCs w:val="24"/>
        </w:rPr>
        <w:t xml:space="preserve">cellMetadataPart</w:t>
      </w:r>
      <w:r>
        <w:t xml:space="preserve">  </w:t>
      </w:r>
      <w:r>
        <w:rPr>
          <w:rFonts w:ascii="Calibri" w:cs="Calibri" w:eastAsia="Calibri" w:hAnsi="Calibri"/>
          <w:b/>
          <w:bCs/>
          <w:color w:val="FFFFFF"/>
          <w:sz w:val="16"/>
          <w:szCs w:val="16"/>
          <w:shd w:fill="375623" w:val="clear"/>
        </w:rPr>
        <w:t xml:space="preserve"> method </w:t>
      </w:r>
    </w:p>
    <w:p>
      <w:pPr>
        <w:spacing w:after="80"/>
      </w:pPr>
      <w:r>
        <w:rPr>
          <w:rFonts w:ascii="Calibri" w:cs="Calibri" w:eastAsia="Calibri" w:hAnsi="Calibri"/>
          <w:b w:val="false"/>
          <w:bCs w:val="false"/>
          <w:i w:val="false"/>
          <w:iCs w:val="false"/>
          <w:color w:val="2F2F2F"/>
          <w:sz w:val="20"/>
          <w:szCs w:val="20"/>
        </w:rPr>
        <w:t xml:space="preserve">Returns the cell metadata part containing additional cell-level metadata.</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async cellMetadataPart(): Promise&lt;SmlPart | undefined&gt;</w:t>
      </w:r>
    </w:p>
    <w:p>
      <w:pPr>
        <w:spacing w:after="60"/>
      </w:pPr>
    </w:p>
    <w:p>
      <w:pPr>
        <w:spacing w:after="40" w:before="100"/>
      </w:pPr>
      <w:r>
        <w:rPr>
          <w:rFonts w:ascii="Calibri" w:cs="Calibri" w:eastAsia="Calibri" w:hAnsi="Calibri"/>
          <w:b/>
          <w:bCs/>
          <w:color w:val="2F2F2F"/>
          <w:sz w:val="20"/>
          <w:szCs w:val="20"/>
        </w:rPr>
        <w:t xml:space="preserve">Returns</w:t>
      </w:r>
    </w:p>
    <w:p>
      <w:pPr>
        <w:spacing w:after="80"/>
      </w:pPr>
      <w:r>
        <w:rPr>
          <w:rFonts w:ascii="Calibri" w:cs="Calibri" w:eastAsia="Calibri" w:hAnsi="Calibri"/>
          <w:b w:val="false"/>
          <w:bCs w:val="false"/>
          <w:i w:val="false"/>
          <w:iCs w:val="false"/>
          <w:color w:val="2F2F2F"/>
          <w:sz w:val="20"/>
          <w:szCs w:val="20"/>
        </w:rPr>
        <w:t xml:space="preserve">Promise&lt;SmlPart | undefined&gt; — the cell metadata part, or undefined.</w:t>
      </w:r>
    </w:p>
    <w:p>
      <w:pPr>
        <w:pBdr>
          <w:bottom w:val="single" w:color="CCCCCC" w:sz="2"/>
        </w:pBdr>
        <w:spacing w:after="60" w:before="200"/>
      </w:pPr>
      <w:r>
        <w:rPr>
          <w:rFonts w:ascii="Consolas" w:cs="Consolas" w:eastAsia="Consolas" w:hAnsi="Consolas"/>
          <w:b/>
          <w:bCs/>
          <w:color w:val="2F2F2F"/>
          <w:sz w:val="24"/>
          <w:szCs w:val="24"/>
        </w:rPr>
        <w:t xml:space="preserve">sharedStringTablePart</w:t>
      </w:r>
      <w:r>
        <w:t xml:space="preserve">  </w:t>
      </w:r>
      <w:r>
        <w:rPr>
          <w:rFonts w:ascii="Calibri" w:cs="Calibri" w:eastAsia="Calibri" w:hAnsi="Calibri"/>
          <w:b/>
          <w:bCs/>
          <w:color w:val="FFFFFF"/>
          <w:sz w:val="16"/>
          <w:szCs w:val="16"/>
          <w:shd w:fill="375623" w:val="clear"/>
        </w:rPr>
        <w:t xml:space="preserve"> method </w:t>
      </w:r>
    </w:p>
    <w:p>
      <w:pPr>
        <w:spacing w:after="80"/>
      </w:pPr>
      <w:r>
        <w:rPr>
          <w:rFonts w:ascii="Calibri" w:cs="Calibri" w:eastAsia="Calibri" w:hAnsi="Calibri"/>
          <w:b w:val="false"/>
          <w:bCs w:val="false"/>
          <w:i w:val="false"/>
          <w:iCs w:val="false"/>
          <w:color w:val="2F2F2F"/>
          <w:sz w:val="20"/>
          <w:szCs w:val="20"/>
        </w:rPr>
        <w:t xml:space="preserve">Returns the shared string table part (sharedStrings.xml). Excel stores unique string values in this table and references them by index from worksheet cells, which reduces file size when the same text appears in multiple cells.</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async sharedStringTablePart(): Promise&lt;SmlPart | undefined&gt;</w:t>
      </w:r>
    </w:p>
    <w:p>
      <w:pPr>
        <w:spacing w:after="60"/>
      </w:pPr>
    </w:p>
    <w:p>
      <w:pPr>
        <w:spacing w:after="40" w:before="100"/>
      </w:pPr>
      <w:r>
        <w:rPr>
          <w:rFonts w:ascii="Calibri" w:cs="Calibri" w:eastAsia="Calibri" w:hAnsi="Calibri"/>
          <w:b/>
          <w:bCs/>
          <w:color w:val="2F2F2F"/>
          <w:sz w:val="20"/>
          <w:szCs w:val="20"/>
        </w:rPr>
        <w:t xml:space="preserve">Returns</w:t>
      </w:r>
    </w:p>
    <w:p>
      <w:pPr>
        <w:spacing w:after="80"/>
      </w:pPr>
      <w:r>
        <w:rPr>
          <w:rFonts w:ascii="Calibri" w:cs="Calibri" w:eastAsia="Calibri" w:hAnsi="Calibri"/>
          <w:b w:val="false"/>
          <w:bCs w:val="false"/>
          <w:i w:val="false"/>
          <w:iCs w:val="false"/>
          <w:color w:val="2F2F2F"/>
          <w:sz w:val="20"/>
          <w:szCs w:val="20"/>
        </w:rPr>
        <w:t xml:space="preserve">Promise&lt;SmlPart | undefined&gt; — the shared string table part, or undefined.</w:t>
      </w:r>
    </w:p>
    <w:p>
      <w:pPr>
        <w:spacing w:after="40" w:before="100"/>
      </w:pPr>
      <w:r>
        <w:rPr>
          <w:rFonts w:ascii="Calibri" w:cs="Calibri" w:eastAsia="Calibri" w:hAnsi="Calibri"/>
          <w:b/>
          <w:bCs/>
          <w:color w:val="2F2F2F"/>
          <w:sz w:val="20"/>
          <w:szCs w:val="20"/>
        </w:rPr>
        <w:t xml:space="preserve">Example</w:t>
      </w:r>
    </w:p>
    <w:p>
      <w:pPr>
        <w:shd w:fill="F2F2F2" w:val="clear"/>
        <w:spacing w:after="0" w:before="0"/>
        <w:ind w:left="360"/>
      </w:pPr>
      <w:r>
        <w:rPr>
          <w:rFonts w:ascii="Consolas" w:cs="Consolas" w:eastAsia="Consolas" w:hAnsi="Consolas"/>
          <w:color w:val="1F3864"/>
          <w:sz w:val="18"/>
          <w:szCs w:val="18"/>
        </w:rPr>
        <w:t xml:space="preserve">const sst = await workbook!.sharedStringTablePart();</w:t>
      </w:r>
    </w:p>
    <w:p>
      <w:pPr>
        <w:shd w:fill="F2F2F2" w:val="clear"/>
        <w:spacing w:after="0" w:before="0"/>
        <w:ind w:left="360"/>
      </w:pPr>
      <w:r>
        <w:rPr>
          <w:rFonts w:ascii="Consolas" w:cs="Consolas" w:eastAsia="Consolas" w:hAnsi="Consolas"/>
          <w:color w:val="1F3864"/>
          <w:sz w:val="18"/>
          <w:szCs w:val="18"/>
        </w:rPr>
        <w:t xml:space="preserve">if (sst) {</w:t>
      </w:r>
    </w:p>
    <w:p>
      <w:pPr>
        <w:shd w:fill="F2F2F2" w:val="clear"/>
        <w:spacing w:after="0" w:before="0"/>
        <w:ind w:left="360"/>
      </w:pPr>
      <w:r>
        <w:rPr>
          <w:rFonts w:ascii="Consolas" w:cs="Consolas" w:eastAsia="Consolas" w:hAnsi="Consolas"/>
          <w:color w:val="1F3864"/>
          <w:sz w:val="18"/>
          <w:szCs w:val="18"/>
        </w:rPr>
        <w:t xml:space="preserve">  const xDoc = await sst.getXDocument();</w:t>
      </w:r>
    </w:p>
    <w:p>
      <w:pPr>
        <w:shd w:fill="F2F2F2" w:val="clear"/>
        <w:spacing w:after="0" w:before="0"/>
        <w:ind w:left="360"/>
      </w:pPr>
      <w:r>
        <w:rPr>
          <w:rFonts w:ascii="Consolas" w:cs="Consolas" w:eastAsia="Consolas" w:hAnsi="Consolas"/>
          <w:color w:val="1F3864"/>
          <w:sz w:val="18"/>
          <w:szCs w:val="18"/>
        </w:rPr>
        <w:t xml:space="preserve">  const strings = xDoc.root!.elements(S.si);</w:t>
      </w:r>
    </w:p>
    <w:p>
      <w:pPr>
        <w:shd w:fill="F2F2F2" w:val="clear"/>
        <w:spacing w:after="0" w:before="0"/>
        <w:ind w:left="360"/>
      </w:pPr>
      <w:r>
        <w:rPr>
          <w:rFonts w:ascii="Consolas" w:cs="Consolas" w:eastAsia="Consolas" w:hAnsi="Consolas"/>
          <w:color w:val="1F3864"/>
          <w:sz w:val="18"/>
          <w:szCs w:val="18"/>
        </w:rPr>
        <w:t xml:space="preserve">  console.log(`${strings.length} unique strings`);</w:t>
      </w:r>
    </w:p>
    <w:p>
      <w:pPr>
        <w:shd w:fill="F2F2F2" w:val="clear"/>
        <w:spacing w:after="80" w:before="0"/>
        <w:ind w:left="360"/>
      </w:pPr>
      <w:r>
        <w:rPr>
          <w:rFonts w:ascii="Consolas" w:cs="Consolas" w:eastAsia="Consolas" w:hAnsi="Consolas"/>
          <w:color w:val="1F3864"/>
          <w:sz w:val="18"/>
          <w:szCs w:val="18"/>
        </w:rPr>
        <w:t xml:space="preserve">}</w:t>
      </w:r>
    </w:p>
    <w:p>
      <w:pPr>
        <w:pBdr>
          <w:bottom w:val="single" w:color="CCCCCC" w:sz="2"/>
        </w:pBdr>
        <w:spacing w:after="60" w:before="200"/>
      </w:pPr>
      <w:r>
        <w:rPr>
          <w:rFonts w:ascii="Consolas" w:cs="Consolas" w:eastAsia="Consolas" w:hAnsi="Consolas"/>
          <w:b/>
          <w:bCs/>
          <w:color w:val="2F2F2F"/>
          <w:sz w:val="24"/>
          <w:szCs w:val="24"/>
        </w:rPr>
        <w:t xml:space="preserve">workbookRevisionHeaderPart</w:t>
      </w:r>
      <w:r>
        <w:t xml:space="preserve">  </w:t>
      </w:r>
      <w:r>
        <w:rPr>
          <w:rFonts w:ascii="Calibri" w:cs="Calibri" w:eastAsia="Calibri" w:hAnsi="Calibri"/>
          <w:b/>
          <w:bCs/>
          <w:color w:val="FFFFFF"/>
          <w:sz w:val="16"/>
          <w:szCs w:val="16"/>
          <w:shd w:fill="375623" w:val="clear"/>
        </w:rPr>
        <w:t xml:space="preserve"> method </w:t>
      </w:r>
    </w:p>
    <w:p>
      <w:pPr>
        <w:spacing w:after="80"/>
      </w:pPr>
      <w:r>
        <w:rPr>
          <w:rFonts w:ascii="Calibri" w:cs="Calibri" w:eastAsia="Calibri" w:hAnsi="Calibri"/>
          <w:b w:val="false"/>
          <w:bCs w:val="false"/>
          <w:i w:val="false"/>
          <w:iCs w:val="false"/>
          <w:color w:val="2F2F2F"/>
          <w:sz w:val="20"/>
          <w:szCs w:val="20"/>
        </w:rPr>
        <w:t xml:space="preserve">Returns the workbook revision header part, which tracks revision (change tracking) metadata.</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async workbookRevisionHeaderPart(): Promise&lt;SmlPart | undefined&gt;</w:t>
      </w:r>
    </w:p>
    <w:p>
      <w:pPr>
        <w:spacing w:after="60"/>
      </w:pPr>
    </w:p>
    <w:p>
      <w:pPr>
        <w:spacing w:after="40" w:before="100"/>
      </w:pPr>
      <w:r>
        <w:rPr>
          <w:rFonts w:ascii="Calibri" w:cs="Calibri" w:eastAsia="Calibri" w:hAnsi="Calibri"/>
          <w:b/>
          <w:bCs/>
          <w:color w:val="2F2F2F"/>
          <w:sz w:val="20"/>
          <w:szCs w:val="20"/>
        </w:rPr>
        <w:t xml:space="preserve">Returns</w:t>
      </w:r>
    </w:p>
    <w:p>
      <w:pPr>
        <w:spacing w:after="80"/>
      </w:pPr>
      <w:r>
        <w:rPr>
          <w:rFonts w:ascii="Calibri" w:cs="Calibri" w:eastAsia="Calibri" w:hAnsi="Calibri"/>
          <w:b w:val="false"/>
          <w:bCs w:val="false"/>
          <w:i w:val="false"/>
          <w:iCs w:val="false"/>
          <w:color w:val="2F2F2F"/>
          <w:sz w:val="20"/>
          <w:szCs w:val="20"/>
        </w:rPr>
        <w:t xml:space="preserve">Promise&lt;SmlPart | undefined&gt; — the revision header part, or undefined.</w:t>
      </w:r>
    </w:p>
    <w:p>
      <w:pPr>
        <w:pBdr>
          <w:bottom w:val="single" w:color="CCCCCC" w:sz="2"/>
        </w:pBdr>
        <w:spacing w:after="60" w:before="200"/>
      </w:pPr>
      <w:r>
        <w:rPr>
          <w:rFonts w:ascii="Consolas" w:cs="Consolas" w:eastAsia="Consolas" w:hAnsi="Consolas"/>
          <w:b/>
          <w:bCs/>
          <w:color w:val="2F2F2F"/>
          <w:sz w:val="24"/>
          <w:szCs w:val="24"/>
        </w:rPr>
        <w:t xml:space="preserve">workbookStylesPart</w:t>
      </w:r>
      <w:r>
        <w:t xml:space="preserve">  </w:t>
      </w:r>
      <w:r>
        <w:rPr>
          <w:rFonts w:ascii="Calibri" w:cs="Calibri" w:eastAsia="Calibri" w:hAnsi="Calibri"/>
          <w:b/>
          <w:bCs/>
          <w:color w:val="FFFFFF"/>
          <w:sz w:val="16"/>
          <w:szCs w:val="16"/>
          <w:shd w:fill="375623" w:val="clear"/>
        </w:rPr>
        <w:t xml:space="preserve"> method </w:t>
      </w:r>
    </w:p>
    <w:p>
      <w:pPr>
        <w:spacing w:after="80"/>
      </w:pPr>
      <w:r>
        <w:rPr>
          <w:rFonts w:ascii="Calibri" w:cs="Calibri" w:eastAsia="Calibri" w:hAnsi="Calibri"/>
          <w:b w:val="false"/>
          <w:bCs w:val="false"/>
          <w:i w:val="false"/>
          <w:iCs w:val="false"/>
          <w:color w:val="2F2F2F"/>
          <w:sz w:val="20"/>
          <w:szCs w:val="20"/>
        </w:rPr>
        <w:t xml:space="preserve">Returns the workbook styles part (styles.xml) containing cell formatting styles, number formats, fonts, fills, and borders.</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async workbookStylesPart(): Promise&lt;SmlPart | undefined&gt;</w:t>
      </w:r>
    </w:p>
    <w:p>
      <w:pPr>
        <w:spacing w:after="60"/>
      </w:pPr>
    </w:p>
    <w:p>
      <w:pPr>
        <w:spacing w:after="40" w:before="100"/>
      </w:pPr>
      <w:r>
        <w:rPr>
          <w:rFonts w:ascii="Calibri" w:cs="Calibri" w:eastAsia="Calibri" w:hAnsi="Calibri"/>
          <w:b/>
          <w:bCs/>
          <w:color w:val="2F2F2F"/>
          <w:sz w:val="20"/>
          <w:szCs w:val="20"/>
        </w:rPr>
        <w:t xml:space="preserve">Returns</w:t>
      </w:r>
    </w:p>
    <w:p>
      <w:pPr>
        <w:spacing w:after="80"/>
      </w:pPr>
      <w:r>
        <w:rPr>
          <w:rFonts w:ascii="Calibri" w:cs="Calibri" w:eastAsia="Calibri" w:hAnsi="Calibri"/>
          <w:b w:val="false"/>
          <w:bCs w:val="false"/>
          <w:i w:val="false"/>
          <w:iCs w:val="false"/>
          <w:color w:val="2F2F2F"/>
          <w:sz w:val="20"/>
          <w:szCs w:val="20"/>
        </w:rPr>
        <w:t xml:space="preserve">Promise&lt;SmlPart | undefined&gt; — the workbook styles part, or undefined.</w:t>
      </w:r>
    </w:p>
    <w:p>
      <w:pPr>
        <w:spacing w:after="40" w:before="100"/>
      </w:pPr>
      <w:r>
        <w:rPr>
          <w:rFonts w:ascii="Calibri" w:cs="Calibri" w:eastAsia="Calibri" w:hAnsi="Calibri"/>
          <w:b/>
          <w:bCs/>
          <w:color w:val="2F2F2F"/>
          <w:sz w:val="20"/>
          <w:szCs w:val="20"/>
        </w:rPr>
        <w:t xml:space="preserve">Example</w:t>
      </w:r>
    </w:p>
    <w:p>
      <w:pPr>
        <w:shd w:fill="F2F2F2" w:val="clear"/>
        <w:spacing w:after="80" w:before="0"/>
        <w:ind w:left="360"/>
      </w:pPr>
      <w:r>
        <w:rPr>
          <w:rFonts w:ascii="Consolas" w:cs="Consolas" w:eastAsia="Consolas" w:hAnsi="Consolas"/>
          <w:color w:val="1F3864"/>
          <w:sz w:val="18"/>
          <w:szCs w:val="18"/>
        </w:rPr>
        <w:t xml:space="preserve">const stylesPart = await workbook!.workbookStylesPart();</w:t>
      </w:r>
    </w:p>
    <w:p>
      <w:pPr>
        <w:pBdr>
          <w:bottom w:val="single" w:color="CCCCCC" w:sz="2"/>
        </w:pBdr>
        <w:spacing w:after="60" w:before="200"/>
      </w:pPr>
      <w:r>
        <w:rPr>
          <w:rFonts w:ascii="Consolas" w:cs="Consolas" w:eastAsia="Consolas" w:hAnsi="Consolas"/>
          <w:b/>
          <w:bCs/>
          <w:color w:val="2F2F2F"/>
          <w:sz w:val="24"/>
          <w:szCs w:val="24"/>
        </w:rPr>
        <w:t xml:space="preserve">worksheetCommentsPart</w:t>
      </w:r>
      <w:r>
        <w:t xml:space="preserve">  </w:t>
      </w:r>
      <w:r>
        <w:rPr>
          <w:rFonts w:ascii="Calibri" w:cs="Calibri" w:eastAsia="Calibri" w:hAnsi="Calibri"/>
          <w:b/>
          <w:bCs/>
          <w:color w:val="FFFFFF"/>
          <w:sz w:val="16"/>
          <w:szCs w:val="16"/>
          <w:shd w:fill="375623" w:val="clear"/>
        </w:rPr>
        <w:t xml:space="preserve"> method </w:t>
      </w:r>
    </w:p>
    <w:p>
      <w:pPr>
        <w:spacing w:after="80"/>
      </w:pPr>
      <w:r>
        <w:rPr>
          <w:rFonts w:ascii="Calibri" w:cs="Calibri" w:eastAsia="Calibri" w:hAnsi="Calibri"/>
          <w:b w:val="false"/>
          <w:bCs w:val="false"/>
          <w:i w:val="false"/>
          <w:iCs w:val="false"/>
          <w:color w:val="2F2F2F"/>
          <w:sz w:val="20"/>
          <w:szCs w:val="20"/>
        </w:rPr>
        <w:t xml:space="preserve">Returns the worksheet comments part containing cell comments/notes.</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async worksheetCommentsPart(): Promise&lt;SmlPart | undefined&gt;</w:t>
      </w:r>
    </w:p>
    <w:p>
      <w:pPr>
        <w:spacing w:after="60"/>
      </w:pPr>
    </w:p>
    <w:p>
      <w:pPr>
        <w:spacing w:after="40" w:before="100"/>
      </w:pPr>
      <w:r>
        <w:rPr>
          <w:rFonts w:ascii="Calibri" w:cs="Calibri" w:eastAsia="Calibri" w:hAnsi="Calibri"/>
          <w:b/>
          <w:bCs/>
          <w:color w:val="2F2F2F"/>
          <w:sz w:val="20"/>
          <w:szCs w:val="20"/>
        </w:rPr>
        <w:t xml:space="preserve">Returns</w:t>
      </w:r>
    </w:p>
    <w:p>
      <w:pPr>
        <w:spacing w:after="80"/>
      </w:pPr>
      <w:r>
        <w:rPr>
          <w:rFonts w:ascii="Calibri" w:cs="Calibri" w:eastAsia="Calibri" w:hAnsi="Calibri"/>
          <w:b w:val="false"/>
          <w:bCs w:val="false"/>
          <w:i w:val="false"/>
          <w:iCs w:val="false"/>
          <w:color w:val="2F2F2F"/>
          <w:sz w:val="20"/>
          <w:szCs w:val="20"/>
        </w:rPr>
        <w:t xml:space="preserve">Promise&lt;SmlPart | undefined&gt; — the worksheet comments part, or undefined.</w:t>
      </w:r>
    </w:p>
    <w:p>
      <w:pPr>
        <w:pBdr>
          <w:bottom w:val="single" w:color="CCCCCC" w:sz="2"/>
        </w:pBdr>
        <w:spacing w:after="60" w:before="200"/>
      </w:pPr>
      <w:r>
        <w:rPr>
          <w:rFonts w:ascii="Consolas" w:cs="Consolas" w:eastAsia="Consolas" w:hAnsi="Consolas"/>
          <w:b/>
          <w:bCs/>
          <w:color w:val="2F2F2F"/>
          <w:sz w:val="24"/>
          <w:szCs w:val="24"/>
        </w:rPr>
        <w:t xml:space="preserve">chartsheetParts</w:t>
      </w:r>
      <w:r>
        <w:t xml:space="preserve">  </w:t>
      </w:r>
      <w:r>
        <w:rPr>
          <w:rFonts w:ascii="Calibri" w:cs="Calibri" w:eastAsia="Calibri" w:hAnsi="Calibri"/>
          <w:b/>
          <w:bCs/>
          <w:color w:val="FFFFFF"/>
          <w:sz w:val="16"/>
          <w:szCs w:val="16"/>
          <w:shd w:fill="375623" w:val="clear"/>
        </w:rPr>
        <w:t xml:space="preserve"> method </w:t>
      </w:r>
    </w:p>
    <w:p>
      <w:pPr>
        <w:spacing w:after="80"/>
      </w:pPr>
      <w:r>
        <w:rPr>
          <w:rFonts w:ascii="Calibri" w:cs="Calibri" w:eastAsia="Calibri" w:hAnsi="Calibri"/>
          <w:b w:val="false"/>
          <w:bCs w:val="false"/>
          <w:i w:val="false"/>
          <w:iCs w:val="false"/>
          <w:color w:val="2F2F2F"/>
          <w:sz w:val="20"/>
          <w:szCs w:val="20"/>
        </w:rPr>
        <w:t xml:space="preserve">Returns all chartsheet parts. Chartsheets are sheets that contain only a chart.</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async chartsheetParts(): Promise&lt;SmlPart[]&gt;</w:t>
      </w:r>
    </w:p>
    <w:p>
      <w:pPr>
        <w:spacing w:after="60"/>
      </w:pPr>
    </w:p>
    <w:p>
      <w:pPr>
        <w:spacing w:after="40" w:before="100"/>
      </w:pPr>
      <w:r>
        <w:rPr>
          <w:rFonts w:ascii="Calibri" w:cs="Calibri" w:eastAsia="Calibri" w:hAnsi="Calibri"/>
          <w:b/>
          <w:bCs/>
          <w:color w:val="2F2F2F"/>
          <w:sz w:val="20"/>
          <w:szCs w:val="20"/>
        </w:rPr>
        <w:t xml:space="preserve">Returns</w:t>
      </w:r>
    </w:p>
    <w:p>
      <w:pPr>
        <w:spacing w:after="80"/>
      </w:pPr>
      <w:r>
        <w:rPr>
          <w:rFonts w:ascii="Calibri" w:cs="Calibri" w:eastAsia="Calibri" w:hAnsi="Calibri"/>
          <w:b w:val="false"/>
          <w:bCs w:val="false"/>
          <w:i w:val="false"/>
          <w:iCs w:val="false"/>
          <w:color w:val="2F2F2F"/>
          <w:sz w:val="20"/>
          <w:szCs w:val="20"/>
        </w:rPr>
        <w:t xml:space="preserve">Promise&lt;SmlPart[]&gt; — all chartsheet parts.</w:t>
      </w:r>
    </w:p>
    <w:p>
      <w:pPr>
        <w:pBdr>
          <w:bottom w:val="single" w:color="CCCCCC" w:sz="2"/>
        </w:pBdr>
        <w:spacing w:after="60" w:before="200"/>
      </w:pPr>
      <w:r>
        <w:rPr>
          <w:rFonts w:ascii="Consolas" w:cs="Consolas" w:eastAsia="Consolas" w:hAnsi="Consolas"/>
          <w:b/>
          <w:bCs/>
          <w:color w:val="2F2F2F"/>
          <w:sz w:val="24"/>
          <w:szCs w:val="24"/>
        </w:rPr>
        <w:t xml:space="preserve">worksheetParts</w:t>
      </w:r>
      <w:r>
        <w:t xml:space="preserve">  </w:t>
      </w:r>
      <w:r>
        <w:rPr>
          <w:rFonts w:ascii="Calibri" w:cs="Calibri" w:eastAsia="Calibri" w:hAnsi="Calibri"/>
          <w:b/>
          <w:bCs/>
          <w:color w:val="FFFFFF"/>
          <w:sz w:val="16"/>
          <w:szCs w:val="16"/>
          <w:shd w:fill="375623" w:val="clear"/>
        </w:rPr>
        <w:t xml:space="preserve"> method </w:t>
      </w:r>
    </w:p>
    <w:p>
      <w:pPr>
        <w:spacing w:after="80"/>
      </w:pPr>
      <w:r>
        <w:rPr>
          <w:rFonts w:ascii="Calibri" w:cs="Calibri" w:eastAsia="Calibri" w:hAnsi="Calibri"/>
          <w:b w:val="false"/>
          <w:bCs w:val="false"/>
          <w:i w:val="false"/>
          <w:iCs w:val="false"/>
          <w:color w:val="2F2F2F"/>
          <w:sz w:val="20"/>
          <w:szCs w:val="20"/>
        </w:rPr>
        <w:t xml:space="preserve">Returns all worksheet parts (sheet1.xml, sheet2.xml, etc.) in the workbook.</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async worksheetParts(): Promise&lt;SmlPart[]&gt;</w:t>
      </w:r>
    </w:p>
    <w:p>
      <w:pPr>
        <w:spacing w:after="60"/>
      </w:pPr>
    </w:p>
    <w:p>
      <w:pPr>
        <w:spacing w:after="40" w:before="100"/>
      </w:pPr>
      <w:r>
        <w:rPr>
          <w:rFonts w:ascii="Calibri" w:cs="Calibri" w:eastAsia="Calibri" w:hAnsi="Calibri"/>
          <w:b/>
          <w:bCs/>
          <w:color w:val="2F2F2F"/>
          <w:sz w:val="20"/>
          <w:szCs w:val="20"/>
        </w:rPr>
        <w:t xml:space="preserve">Returns</w:t>
      </w:r>
    </w:p>
    <w:p>
      <w:pPr>
        <w:spacing w:after="80"/>
      </w:pPr>
      <w:r>
        <w:rPr>
          <w:rFonts w:ascii="Calibri" w:cs="Calibri" w:eastAsia="Calibri" w:hAnsi="Calibri"/>
          <w:b w:val="false"/>
          <w:bCs w:val="false"/>
          <w:i w:val="false"/>
          <w:iCs w:val="false"/>
          <w:color w:val="2F2F2F"/>
          <w:sz w:val="20"/>
          <w:szCs w:val="20"/>
        </w:rPr>
        <w:t xml:space="preserve">Promise&lt;SmlPart[]&gt; — all worksheet parts.</w:t>
      </w:r>
    </w:p>
    <w:p>
      <w:pPr>
        <w:spacing w:after="40" w:before="100"/>
      </w:pPr>
      <w:r>
        <w:rPr>
          <w:rFonts w:ascii="Calibri" w:cs="Calibri" w:eastAsia="Calibri" w:hAnsi="Calibri"/>
          <w:b/>
          <w:bCs/>
          <w:color w:val="2F2F2F"/>
          <w:sz w:val="20"/>
          <w:szCs w:val="20"/>
        </w:rPr>
        <w:t xml:space="preserve">Example</w:t>
      </w:r>
    </w:p>
    <w:p>
      <w:pPr>
        <w:shd w:fill="F2F2F2" w:val="clear"/>
        <w:spacing w:after="0" w:before="0"/>
        <w:ind w:left="360"/>
      </w:pPr>
      <w:r>
        <w:rPr>
          <w:rFonts w:ascii="Consolas" w:cs="Consolas" w:eastAsia="Consolas" w:hAnsi="Consolas"/>
          <w:color w:val="1F3864"/>
          <w:sz w:val="18"/>
          <w:szCs w:val="18"/>
        </w:rPr>
        <w:t xml:space="preserve">const worksheets = await workbook!.worksheetParts();</w:t>
      </w:r>
    </w:p>
    <w:p>
      <w:pPr>
        <w:shd w:fill="F2F2F2" w:val="clear"/>
        <w:spacing w:after="0" w:before="0"/>
        <w:ind w:left="360"/>
      </w:pPr>
      <w:r>
        <w:rPr>
          <w:rFonts w:ascii="Consolas" w:cs="Consolas" w:eastAsia="Consolas" w:hAnsi="Consolas"/>
          <w:color w:val="1F3864"/>
          <w:sz w:val="18"/>
          <w:szCs w:val="18"/>
        </w:rPr>
        <w:t xml:space="preserve">for (const ws of worksheets) {</w:t>
      </w:r>
    </w:p>
    <w:p>
      <w:pPr>
        <w:shd w:fill="F2F2F2" w:val="clear"/>
        <w:spacing w:after="0" w:before="0"/>
        <w:ind w:left="360"/>
      </w:pPr>
      <w:r>
        <w:rPr>
          <w:rFonts w:ascii="Consolas" w:cs="Consolas" w:eastAsia="Consolas" w:hAnsi="Consolas"/>
          <w:color w:val="1F3864"/>
          <w:sz w:val="18"/>
          <w:szCs w:val="18"/>
        </w:rPr>
        <w:t xml:space="preserve">  const xDoc = await ws.getXDocument();</w:t>
      </w:r>
    </w:p>
    <w:p>
      <w:pPr>
        <w:shd w:fill="F2F2F2" w:val="clear"/>
        <w:spacing w:after="0" w:before="0"/>
        <w:ind w:left="360"/>
      </w:pPr>
      <w:r>
        <w:rPr>
          <w:rFonts w:ascii="Consolas" w:cs="Consolas" w:eastAsia="Consolas" w:hAnsi="Consolas"/>
          <w:color w:val="1F3864"/>
          <w:sz w:val="18"/>
          <w:szCs w:val="18"/>
        </w:rPr>
        <w:t xml:space="preserve">  const rows = xDoc.root!.element(S.sheetData)?.elements(S.row) ?? [];</w:t>
      </w:r>
    </w:p>
    <w:p>
      <w:pPr>
        <w:shd w:fill="F2F2F2" w:val="clear"/>
        <w:spacing w:after="0" w:before="0"/>
        <w:ind w:left="360"/>
      </w:pPr>
      <w:r>
        <w:rPr>
          <w:rFonts w:ascii="Consolas" w:cs="Consolas" w:eastAsia="Consolas" w:hAnsi="Consolas"/>
          <w:color w:val="1F3864"/>
          <w:sz w:val="18"/>
          <w:szCs w:val="18"/>
        </w:rPr>
        <w:t xml:space="preserve">  console.log(`${ws.getUri()}: ${rows.length} rows`);</w:t>
      </w:r>
    </w:p>
    <w:p>
      <w:pPr>
        <w:shd w:fill="F2F2F2" w:val="clear"/>
        <w:spacing w:after="80" w:before="0"/>
        <w:ind w:left="360"/>
      </w:pPr>
      <w:r>
        <w:rPr>
          <w:rFonts w:ascii="Consolas" w:cs="Consolas" w:eastAsia="Consolas" w:hAnsi="Consolas"/>
          <w:color w:val="1F3864"/>
          <w:sz w:val="18"/>
          <w:szCs w:val="18"/>
        </w:rPr>
        <w:t xml:space="preserve">}</w:t>
      </w:r>
    </w:p>
    <w:p>
      <w:pPr>
        <w:pBdr>
          <w:bottom w:val="single" w:color="CCCCCC" w:sz="2"/>
        </w:pBdr>
        <w:spacing w:after="60" w:before="200"/>
      </w:pPr>
      <w:r>
        <w:rPr>
          <w:rFonts w:ascii="Consolas" w:cs="Consolas" w:eastAsia="Consolas" w:hAnsi="Consolas"/>
          <w:b/>
          <w:bCs/>
          <w:color w:val="2F2F2F"/>
          <w:sz w:val="24"/>
          <w:szCs w:val="24"/>
        </w:rPr>
        <w:t xml:space="preserve">pivotTableParts</w:t>
      </w:r>
      <w:r>
        <w:t xml:space="preserve">  </w:t>
      </w:r>
      <w:r>
        <w:rPr>
          <w:rFonts w:ascii="Calibri" w:cs="Calibri" w:eastAsia="Calibri" w:hAnsi="Calibri"/>
          <w:b/>
          <w:bCs/>
          <w:color w:val="FFFFFF"/>
          <w:sz w:val="16"/>
          <w:szCs w:val="16"/>
          <w:shd w:fill="375623" w:val="clear"/>
        </w:rPr>
        <w:t xml:space="preserve"> method </w:t>
      </w:r>
    </w:p>
    <w:p>
      <w:pPr>
        <w:spacing w:after="80"/>
      </w:pPr>
      <w:r>
        <w:rPr>
          <w:rFonts w:ascii="Calibri" w:cs="Calibri" w:eastAsia="Calibri" w:hAnsi="Calibri"/>
          <w:b w:val="false"/>
          <w:bCs w:val="false"/>
          <w:i w:val="false"/>
          <w:iCs w:val="false"/>
          <w:color w:val="2F2F2F"/>
          <w:sz w:val="20"/>
          <w:szCs w:val="20"/>
        </w:rPr>
        <w:t xml:space="preserve">Returns all pivot table definition parts.</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async pivotTableParts(): Promise&lt;SmlPart[]&gt;</w:t>
      </w:r>
    </w:p>
    <w:p>
      <w:pPr>
        <w:spacing w:after="60"/>
      </w:pPr>
    </w:p>
    <w:p>
      <w:pPr>
        <w:spacing w:after="40" w:before="100"/>
      </w:pPr>
      <w:r>
        <w:rPr>
          <w:rFonts w:ascii="Calibri" w:cs="Calibri" w:eastAsia="Calibri" w:hAnsi="Calibri"/>
          <w:b/>
          <w:bCs/>
          <w:color w:val="2F2F2F"/>
          <w:sz w:val="20"/>
          <w:szCs w:val="20"/>
        </w:rPr>
        <w:t xml:space="preserve">Returns</w:t>
      </w:r>
    </w:p>
    <w:p>
      <w:pPr>
        <w:spacing w:after="80"/>
      </w:pPr>
      <w:r>
        <w:rPr>
          <w:rFonts w:ascii="Calibri" w:cs="Calibri" w:eastAsia="Calibri" w:hAnsi="Calibri"/>
          <w:b w:val="false"/>
          <w:bCs w:val="false"/>
          <w:i w:val="false"/>
          <w:iCs w:val="false"/>
          <w:color w:val="2F2F2F"/>
          <w:sz w:val="20"/>
          <w:szCs w:val="20"/>
        </w:rPr>
        <w:t xml:space="preserve">Promise&lt;SmlPart[]&gt; — all pivot table parts.</w:t>
      </w:r>
    </w:p>
    <w:p>
      <w:pPr>
        <w:pBdr>
          <w:bottom w:val="single" w:color="CCCCCC" w:sz="2"/>
        </w:pBdr>
        <w:spacing w:after="60" w:before="200"/>
      </w:pPr>
      <w:r>
        <w:rPr>
          <w:rFonts w:ascii="Consolas" w:cs="Consolas" w:eastAsia="Consolas" w:hAnsi="Consolas"/>
          <w:b/>
          <w:bCs/>
          <w:color w:val="2F2F2F"/>
          <w:sz w:val="24"/>
          <w:szCs w:val="24"/>
        </w:rPr>
        <w:t xml:space="preserve">queryTableParts</w:t>
      </w:r>
      <w:r>
        <w:t xml:space="preserve">  </w:t>
      </w:r>
      <w:r>
        <w:rPr>
          <w:rFonts w:ascii="Calibri" w:cs="Calibri" w:eastAsia="Calibri" w:hAnsi="Calibri"/>
          <w:b/>
          <w:bCs/>
          <w:color w:val="FFFFFF"/>
          <w:sz w:val="16"/>
          <w:szCs w:val="16"/>
          <w:shd w:fill="375623" w:val="clear"/>
        </w:rPr>
        <w:t xml:space="preserve"> method </w:t>
      </w:r>
    </w:p>
    <w:p>
      <w:pPr>
        <w:spacing w:after="80"/>
      </w:pPr>
      <w:r>
        <w:rPr>
          <w:rFonts w:ascii="Calibri" w:cs="Calibri" w:eastAsia="Calibri" w:hAnsi="Calibri"/>
          <w:b w:val="false"/>
          <w:bCs w:val="false"/>
          <w:i w:val="false"/>
          <w:iCs w:val="false"/>
          <w:color w:val="2F2F2F"/>
          <w:sz w:val="20"/>
          <w:szCs w:val="20"/>
        </w:rPr>
        <w:t xml:space="preserve">Returns all query table parts, which define external data queries.</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async queryTableParts(): Promise&lt;SmlPart[]&gt;</w:t>
      </w:r>
    </w:p>
    <w:p>
      <w:pPr>
        <w:spacing w:after="60"/>
      </w:pPr>
    </w:p>
    <w:p>
      <w:pPr>
        <w:spacing w:after="40" w:before="100"/>
      </w:pPr>
      <w:r>
        <w:rPr>
          <w:rFonts w:ascii="Calibri" w:cs="Calibri" w:eastAsia="Calibri" w:hAnsi="Calibri"/>
          <w:b/>
          <w:bCs/>
          <w:color w:val="2F2F2F"/>
          <w:sz w:val="20"/>
          <w:szCs w:val="20"/>
        </w:rPr>
        <w:t xml:space="preserve">Returns</w:t>
      </w:r>
    </w:p>
    <w:p>
      <w:pPr>
        <w:spacing w:after="80"/>
      </w:pPr>
      <w:r>
        <w:rPr>
          <w:rFonts w:ascii="Calibri" w:cs="Calibri" w:eastAsia="Calibri" w:hAnsi="Calibri"/>
          <w:b w:val="false"/>
          <w:bCs w:val="false"/>
          <w:i w:val="false"/>
          <w:iCs w:val="false"/>
          <w:color w:val="2F2F2F"/>
          <w:sz w:val="20"/>
          <w:szCs w:val="20"/>
        </w:rPr>
        <w:t xml:space="preserve">Promise&lt;SmlPart[]&gt; — all query table parts.</w:t>
      </w:r>
    </w:p>
    <w:p>
      <w:pPr>
        <w:pBdr>
          <w:bottom w:val="single" w:color="CCCCCC" w:sz="2"/>
        </w:pBdr>
        <w:spacing w:after="60" w:before="200"/>
      </w:pPr>
      <w:r>
        <w:rPr>
          <w:rFonts w:ascii="Consolas" w:cs="Consolas" w:eastAsia="Consolas" w:hAnsi="Consolas"/>
          <w:b/>
          <w:bCs/>
          <w:color w:val="2F2F2F"/>
          <w:sz w:val="24"/>
          <w:szCs w:val="24"/>
        </w:rPr>
        <w:t xml:space="preserve">tableDefinitionParts</w:t>
      </w:r>
      <w:r>
        <w:t xml:space="preserve">  </w:t>
      </w:r>
      <w:r>
        <w:rPr>
          <w:rFonts w:ascii="Calibri" w:cs="Calibri" w:eastAsia="Calibri" w:hAnsi="Calibri"/>
          <w:b/>
          <w:bCs/>
          <w:color w:val="FFFFFF"/>
          <w:sz w:val="16"/>
          <w:szCs w:val="16"/>
          <w:shd w:fill="375623" w:val="clear"/>
        </w:rPr>
        <w:t xml:space="preserve"> method </w:t>
      </w:r>
    </w:p>
    <w:p>
      <w:pPr>
        <w:spacing w:after="80"/>
      </w:pPr>
      <w:r>
        <w:rPr>
          <w:rFonts w:ascii="Calibri" w:cs="Calibri" w:eastAsia="Calibri" w:hAnsi="Calibri"/>
          <w:b w:val="false"/>
          <w:bCs w:val="false"/>
          <w:i w:val="false"/>
          <w:iCs w:val="false"/>
          <w:color w:val="2F2F2F"/>
          <w:sz w:val="20"/>
          <w:szCs w:val="20"/>
        </w:rPr>
        <w:t xml:space="preserve">Returns all table definition parts, which define structured table ranges within worksheets.</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async tableDefinitionParts(): Promise&lt;SmlPart[]&gt;</w:t>
      </w:r>
    </w:p>
    <w:p>
      <w:pPr>
        <w:spacing w:after="60"/>
      </w:pPr>
    </w:p>
    <w:p>
      <w:pPr>
        <w:spacing w:after="40" w:before="100"/>
      </w:pPr>
      <w:r>
        <w:rPr>
          <w:rFonts w:ascii="Calibri" w:cs="Calibri" w:eastAsia="Calibri" w:hAnsi="Calibri"/>
          <w:b/>
          <w:bCs/>
          <w:color w:val="2F2F2F"/>
          <w:sz w:val="20"/>
          <w:szCs w:val="20"/>
        </w:rPr>
        <w:t xml:space="preserve">Returns</w:t>
      </w:r>
    </w:p>
    <w:p>
      <w:pPr>
        <w:spacing w:after="80"/>
      </w:pPr>
      <w:r>
        <w:rPr>
          <w:rFonts w:ascii="Calibri" w:cs="Calibri" w:eastAsia="Calibri" w:hAnsi="Calibri"/>
          <w:b w:val="false"/>
          <w:bCs w:val="false"/>
          <w:i w:val="false"/>
          <w:iCs w:val="false"/>
          <w:color w:val="2F2F2F"/>
          <w:sz w:val="20"/>
          <w:szCs w:val="20"/>
        </w:rPr>
        <w:t xml:space="preserve">Promise&lt;SmlPart[]&gt; — all table definition parts.</w:t>
      </w:r>
    </w:p>
    <w:p>
      <w:pPr>
        <w:pBdr>
          <w:bottom w:val="single" w:color="CCCCCC" w:sz="2"/>
        </w:pBdr>
        <w:spacing w:after="60" w:before="200"/>
      </w:pPr>
      <w:r>
        <w:rPr>
          <w:rFonts w:ascii="Consolas" w:cs="Consolas" w:eastAsia="Consolas" w:hAnsi="Consolas"/>
          <w:b/>
          <w:bCs/>
          <w:color w:val="2F2F2F"/>
          <w:sz w:val="24"/>
          <w:szCs w:val="24"/>
        </w:rPr>
        <w:t xml:space="preserve">timeLineParts</w:t>
      </w:r>
      <w:r>
        <w:t xml:space="preserve">  </w:t>
      </w:r>
      <w:r>
        <w:rPr>
          <w:rFonts w:ascii="Calibri" w:cs="Calibri" w:eastAsia="Calibri" w:hAnsi="Calibri"/>
          <w:b/>
          <w:bCs/>
          <w:color w:val="FFFFFF"/>
          <w:sz w:val="16"/>
          <w:szCs w:val="16"/>
          <w:shd w:fill="375623" w:val="clear"/>
        </w:rPr>
        <w:t xml:space="preserve"> method </w:t>
      </w:r>
    </w:p>
    <w:p>
      <w:pPr>
        <w:spacing w:after="80"/>
      </w:pPr>
      <w:r>
        <w:rPr>
          <w:rFonts w:ascii="Calibri" w:cs="Calibri" w:eastAsia="Calibri" w:hAnsi="Calibri"/>
          <w:b w:val="false"/>
          <w:bCs w:val="false"/>
          <w:i w:val="false"/>
          <w:iCs w:val="false"/>
          <w:color w:val="2F2F2F"/>
          <w:sz w:val="20"/>
          <w:szCs w:val="20"/>
        </w:rPr>
        <w:t xml:space="preserve">Returns all timeline parts, which define timeline controls used for filtering pivot table data by date ranges.</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async timeLineParts(): Promise&lt;SmlPart[]&gt;</w:t>
      </w:r>
    </w:p>
    <w:p>
      <w:pPr>
        <w:spacing w:after="60"/>
      </w:pPr>
    </w:p>
    <w:p>
      <w:pPr>
        <w:spacing w:after="40" w:before="100"/>
      </w:pPr>
      <w:r>
        <w:rPr>
          <w:rFonts w:ascii="Calibri" w:cs="Calibri" w:eastAsia="Calibri" w:hAnsi="Calibri"/>
          <w:b/>
          <w:bCs/>
          <w:color w:val="2F2F2F"/>
          <w:sz w:val="20"/>
          <w:szCs w:val="20"/>
        </w:rPr>
        <w:t xml:space="preserve">Returns</w:t>
      </w:r>
    </w:p>
    <w:p>
      <w:pPr>
        <w:spacing w:after="80"/>
      </w:pPr>
      <w:r>
        <w:rPr>
          <w:rFonts w:ascii="Calibri" w:cs="Calibri" w:eastAsia="Calibri" w:hAnsi="Calibri"/>
          <w:b w:val="false"/>
          <w:bCs w:val="false"/>
          <w:i w:val="false"/>
          <w:iCs w:val="false"/>
          <w:color w:val="2F2F2F"/>
          <w:sz w:val="20"/>
          <w:szCs w:val="20"/>
        </w:rPr>
        <w:t xml:space="preserve">Promise&lt;SmlPart[]&gt; — all timeline parts.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2026-04-02T11:39:33.934Z</dcterms:created>
  <dcterms:modified xsi:type="dcterms:W3CDTF">2026-04-02T11:39:33.934Z</dcterms:modified>
</cp:coreProperties>
</file>

<file path=docProps/custom.xml><?xml version="1.0" encoding="utf-8"?>
<Properties xmlns="http://schemas.openxmlformats.org/officeDocument/2006/custom-properties" xmlns:vt="http://schemas.openxmlformats.org/officeDocument/2006/docPropsVTypes"/>
</file>