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canonical &amp; sub-segment</w:t>
      </w:r>
    </w:p>
    <w:p>
      <w:r>
        <w:rPr>
          <w:b/>
          <w:i w:val="0"/>
        </w:rPr>
        <w:t>v1 canonical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0.02844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0.03434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0.04670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-0.136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0.03232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12.3</w:t>
            </w:r>
          </w:p>
        </w:tc>
      </w:tr>
    </w:tbl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canonical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0.01254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8.3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0.03159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0.07247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0.02954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0.07034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0.03364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12.8</w:t>
            </w:r>
          </w:p>
        </w:tc>
      </w:tr>
    </w:tbl>
    <w:p>
      <w:r>
        <w:rPr>
          <w:b/>
          <w:i w:val="0"/>
        </w:rPr>
        <w:t>v2 sub-seg  (N=24):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0.07440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0.01563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0.05046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0.02551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</w:tbl>
    <w:p>
      <w:r>
        <w:rPr>
          <w:b w:val="0"/>
          <w:i/>
        </w:rPr>
        <w:t>Key: within a vintage, σ²_random / σ²_scanner shrink from canonical → sub-segment (the traced-extent term is removed). Across vintages (canonical), σ²_random is stable while Δ (systematic bias) grew v1→v2 — the 07-07 re-work changed the bias (Gate 4), not the random reproducibility (Gate 3).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10.4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17.9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13.3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6.5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17.3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18.6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18.1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16.1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23.7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124.7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98.2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95.1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38.3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40.8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45.1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34.4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37.9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35.3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canonical vs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8.3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7.2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11.9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12.1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9.9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5.8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7.8 F/F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4.7 F/P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8.4 F/P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4.7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3.4 P/P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10.9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10.6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12.6 P/F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12.3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12.8 P/F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9.1 P/P</w:t>
            </w:r>
          </w:p>
        </w:tc>
      </w:tr>
    </w:tbl>
    <w:p>
      <w:r>
        <w:rPr>
          <w:b w:val="0"/>
          <w:i/>
        </w:rPr>
        <w:t>Cells: scanner-attributable wCV%  a/b (P/F). Canonical still contains the traced-extent term; sub-segment removes it — scanner-attributable variance drops accordingly and is ≤ OQ / CI-includes-0 for nearly all endpoints on sub-segment.</w:t>
      </w:r>
    </w:p>
    <w:p>
      <w:pPr>
        <w:pStyle w:val="Heading1"/>
      </w:pPr>
      <w:r>
        <w:t>8. Gate 4 — systematic bias (log-scale Bland-Altman) vs OQ Table 6</w:t>
      </w:r>
    </w:p>
    <w:p>
      <w:r>
        <w:rPr>
          <w:b w:val="0"/>
          <w:i w:val="0"/>
        </w:rPr>
        <w:t>Systematic PCCT−EID bias Δ on the log(x+1), length-normalized scale (the Gate-4 quantity, separated from dispersion). Acceptance: PCCT bias 95% CI overlaps the 730-CVV-040 Table 6 inter-observer bias 95% CI (which essentially includes 0). Plaque endpoints only (Table 6 provides plaque BA references; process-output bias has no OQ BA reference). P=overlap/pass, F=no overlap/fail.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[-0.01,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+0.005 [-0.037,+0.045]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+0.079 [+0.051,+0.108]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-0.060 [-0.109,-0.013]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+0.003 [-0.033,+0.038]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[-0.06, -0.01]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+0.026 [-0.021,+0.089]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+0.043 [-0.001,+0.100]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-0.008 [-0.043,+0.034]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+0.009 [-0.023,+0.048]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[-0.19,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-0.188 [-0.284,-0.096]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-0.167 [-0.255,-0.078]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-0.297 [-0.393,-0.199] F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-0.289 [-0.393,-0.188] 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[-0.19, 0.08]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-0.136 [-0.233,-0.039]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-0.068 [-0.143,+0.014]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-0.276 [-0.376,-0.180] 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-0.228 [-0.319,-0.142] P</w:t>
            </w:r>
          </w:p>
        </w:tc>
      </w:tr>
    </w:tbl>
    <w:p>
      <w:r>
        <w:rPr>
          <w:b w:val="0"/>
          <w:i/>
        </w:rPr>
        <w:t>Full BA bias/LoA/proportional-bias detail and the OQ-overlay plots are in gate_results/qualification_report.html (canonical) and the gate_summary.txt sub-segment section + gate_results/bland_altman_plots_subsegment/ (sub-segment). Note the systematic plaque bias grew v1→v2 (07-07 re-work) and does NOT shrink to overlap on sub-segment — the bias is within the shared centerline, not at the traced-extent tail (consistent with the earlier sub-segment finding).</w:t>
      </w:r>
    </w:p>
    <w:p>
      <w:pPr>
        <w:pStyle w:val="Heading1"/>
      </w:pPr>
      <w:r>
        <w:t>9.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N=24)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10. Caveats &amp; future work</w:t>
      </w:r>
    </w:p>
    <w:p>
      <w:pPr>
        <w:pStyle w:val="ListBullet"/>
      </w:pPr>
      <w:r>
        <w:t>N = 25 canonical / 24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N=24 (PT-124 no vessel overlap, PT-136 duplicate LeftCoronary in workitem.json — both excluded).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