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SUB-SEGMENT (extent-matched)</w:t>
      </w:r>
    </w:p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sub-seg  (N=24):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0.07440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0.01563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0.05046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0.02551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</w:tbl>
    <w:p>
      <w:r>
        <w:rPr>
          <w:b w:val="0"/>
          <w:i/>
        </w:rPr>
        <w:t>Results are on the sub-segment (extent-matched) region for v1 and v2. σ²_random / σ²_scanner are small (the extent term is removed by the sub-segment intersection) and stable v1→v2 — the 07-07 re-work changed the systematic bias (Gate 4), not the random reproducibility (Gate 3). Gate 4 bias (§8) is assessed on the canonical length-normalized scale to match the OQ.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13.3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6.5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16.1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23.7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35.3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4.7 F/P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3.4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12.6 P/F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9.1 P/P</w:t>
            </w:r>
          </w:p>
        </w:tc>
      </w:tr>
    </w:tbl>
    <w:p>
      <w:r>
        <w:rPr>
          <w:b w:val="0"/>
          <w:i/>
        </w:rPr>
        <w:t>Cells: scanner-attributable wCV%  a/b (P/F), on the extent-matched sub-segment. σ²_scanner = Var(d_log)/2 − σ²_OQ; with reader+repeat (OQ) and extent (sub-segment) removed, the residual scanner-attributable variability is ≤ OQ / CI-includes-0 for nearly all endpoints.</w:t>
      </w:r>
    </w:p>
    <w:p>
      <w:pPr>
        <w:pStyle w:val="Heading1"/>
      </w:pPr>
      <w:r>
        <w:t>8. Gate 4 — systematic bias (untransformed) vs OQ</w:t>
      </w:r>
    </w:p>
    <w:p>
      <w:r>
        <w:rPr>
          <w:b/>
          <w:i w:val="0"/>
        </w:rPr>
        <w:t>The OQ Bland-Altman bias reference (730-CVV-040 ATTACHMENT 2, "Untransformed analysis") is UNTRANSFORMED and LENGTH-NORMALIZED. So the like-for-like PCCT comparison uses the canonical length-normalized bias; length-normalization is not meaningful on the sub-segment (extent is already matched), so the sub-segment bias is shown as a raw-mm³ reference column. The OQ tabulates only the untransformed BA bias (transformed is plots-only), so no transformed-bias comparison is possible. Plaque endpoints.</w:t>
      </w:r>
    </w:p>
    <w:p>
      <w:r>
        <w:rPr>
          <w:b/>
          <w:i w:val="0"/>
        </w:rPr>
        <w:t>8a. Untransformed bias (length-normalized) — OQ 95% CI vs PCCT canonical; overlap P/F.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+0.020 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+0.017 [-0.075,+0.114]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-0.095 [-0.192,-0.004]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-0.030 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+0.037 [-0.021,+0.122]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-0.009 [-0.052,+0.043]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-0.070 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-0.427 [-0.689,-0.189]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-0.626 [-0.876,-0.398]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-0.050 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-0.373 [-0.749,-0.018]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-0.730 [-1.106,-0.398]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</w:tbl>
    <w:p>
      <w:r>
        <w:rPr>
          <w:b/>
          <w:i w:val="0"/>
        </w:rPr>
        <w:t>8b. Sub-segment bias (raw mm³, extent-matched — length-norm not applicable), shown for reference alongside the canonical/OQ comparison above.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v1 sub-seg bias (mm³)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v2 sub-seg bias (mm³)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+24.9 [+14.5,+37.4]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+0.2 [-9.4,+9.4]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+6.5 [-1.4,+16.8]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-1.4 [-11.1,+7.1]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-76.6 [-121.4,-33.6]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-114.8 [-161.9,-71.6]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-45.2 [-94.7,+5.4]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-114.6 [-168.0,-66.7]</w:t>
            </w:r>
          </w:p>
        </w:tc>
      </w:tr>
    </w:tbl>
    <w:p>
      <w:r>
        <w:rPr>
          <w:b w:val="0"/>
          <w:i/>
        </w:rPr>
        <w:t>Note: canonical bias (length-normalized) is the OQ-comparable quantity; NonCALC Matrix and Total Plaque do not overlap the OQ bias CI (real modality bias). The systematic plaque bias grew v1→v2 (07-07 re-work) and is within the shared centerline, not the traced-extent tail — so it persists on the sub-segment (raw bias column) rather than shrinking.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