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PCCT Scanner Qualification — Statistical Method &amp; Results</w:t>
      </w:r>
    </w:p>
    <w:p>
      <w:r>
        <w:rPr>
          <w:b w:val="0"/>
          <w:i/>
        </w:rPr>
        <w:t>Gate 3 (quantitative reproducibility) — cross-scanner PCCT vs EID vs the B.1P Delta Validation OQ (730-CVV-040). Canonical vessel-overlap region, length-normalized, N = 25 paired patients. Two data vintages: v1 (original) and v2 (2026-07-07 re-work). Preliminary (target N ≥ 30).</w:t>
      </w:r>
    </w:p>
    <w:p>
      <w:pPr>
        <w:pStyle w:val="Heading1"/>
      </w:pPr>
      <w:r>
        <w:t>1. Purpose &amp; scope</w:t>
      </w:r>
    </w:p>
    <w:p>
      <w:r>
        <w:rPr>
          <w:b w:val="0"/>
          <w:i w:val="0"/>
        </w:rPr>
        <w:t>Establish, on a like-for-like basis with the validated B.1P inter-operator reproducibility, whether cross-scanner (PCCT vs EID) quantitative reproducibility is non-inferior to the OQ limits. The systematic modality difference (bias) is separated from random dispersion and assessed in Gate 4; this document covers the Gate-3 reproducibility (wCV) method and the scanner-attributable variance decomposition.</w:t>
      </w:r>
    </w:p>
    <w:p>
      <w:pPr>
        <w:pStyle w:val="Heading1"/>
      </w:pPr>
      <w:r>
        <w:t>2. Measurement model</w:t>
      </w:r>
    </w:p>
    <w:p>
      <w:r>
        <w:rPr>
          <w:b w:val="0"/>
          <w:i w:val="0"/>
        </w:rPr>
        <w:t>For patient i, scanner s ∈ {PCCT, EID}, reader r, on the log(x+1), length-normalized scale:</w:t>
      </w:r>
    </w:p>
    <w:p>
      <w:r>
        <w:rPr>
          <w:b/>
          <w:i w:val="0"/>
        </w:rPr>
        <w:t xml:space="preserve">    Y_isr = μ + P_i + S_s + (PS)_is + R_r + e_isr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P_i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patient (between-subject) effect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not part of within-subject reproducibility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S_s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scanner main effect (systematic modality bias)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FIXED → Gate 4 (not variance)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(PS)_is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patient × scanner interaction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σ²_scanner — the scanner-attributable variance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R_r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reader (inter-operator) effect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σ²_R — measured by the OQ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e_isr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residual / repeat error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σ²_e — measured by the OQ</w:t>
            </w:r>
          </w:p>
        </w:tc>
      </w:tr>
    </w:tbl>
    <w:p>
      <w:r>
        <w:rPr>
          <w:b w:val="0"/>
          <w:i w:val="0"/>
        </w:rPr>
        <w:t>Only one read per patient·scanner is available, so only the paired difference d_i = Y_PCCT − Y_EID is observed. P_i cancels, giving d_i = Δ + [(PS) difference] + [R − R′] + [e − e′], hence Var(d)/2 = σ²_PS + σ²_R + σ²_e.</w:t>
      </w:r>
    </w:p>
    <w:p>
      <w:pPr>
        <w:pStyle w:val="Heading1"/>
      </w:pPr>
      <w:r>
        <w:t>3. Estimators &amp; acceptance</w:t>
      </w:r>
    </w:p>
    <w:p>
      <w:r>
        <w:rPr>
          <w:b w:val="0"/>
          <w:i w:val="0"/>
        </w:rPr>
        <w:t>wCV (within-subject CV) — variance-component / random-effects estimator per Quan &amp; Shih (1996), matching the OQ (730-CVV-040 §11: log(x+1) + linear mixed model). For paired (k=2) data the within-subject variance component is σ²_w = mean(d²)/2.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Formula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Systematic bias 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mean(d) (log scale)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Gate 4 (BA bias)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σ²_total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mean(d²)/2 = σ²_random + Δ²/2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within-subject var incl. bias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σ²_random (scanner term)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Var(d)/2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bias-removed dispersion (Gate 3 basis)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σ²_OQ,within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ln(1 + (OQ_logCV/100)²)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reader+repeat, imported from OQ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σ²_scanner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Var(d)/2 − σ²_OQ,within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scanner×patient interaction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wCV (log)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√(exp(σ²)−1)·100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report/compare on log scale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wCV (untransf.)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√σ²_w / grand-mean · 100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report on untransformed scale</w:t>
            </w:r>
          </w:p>
        </w:tc>
      </w:tr>
    </w:tbl>
    <w:p>
      <w:r>
        <w:rPr>
          <w:b w:val="0"/>
          <w:i w:val="0"/>
        </w:rPr>
        <w:t>95% CIs: 2000-sample bootstrap over patients (seed 42). Acceptance — Gate 3: PCCT wCV 95% CI OVERLAPS the delta-OQ wCV CI (scanner-term basis). Scanner-attributable: (a) scanner wCV ≤ OQ inter-observer limit, and (b) σ²_scanner 95% CI includes 0 (not distinguishable from zero). The scanner-attributable subtraction is done on the log scale (there the CV↔variance relation is mean-independent, so the OQ term is transportable across studies).</w:t>
      </w:r>
    </w:p>
    <w:p>
      <w:pPr>
        <w:pStyle w:val="Heading1"/>
      </w:pPr>
      <w:r>
        <w:t>4. OQ reference (730-CVV-040 / ATTACHMENT 2, patient level)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OQ log-wCV [95% CI]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OQ untransf-wCV [95% CI]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Lumen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7.5% [5.9, 9.3]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9.32% [7.09, 11.58]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Wall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13.1% [10.2, 16.0]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23.5% [17.88, 29.71]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Vessel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8.7% [6.8, 10.6]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10.18% [7.83, 12.38]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CALC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4.5% [3.5, 5.4]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25.78% [18.7, 35.75]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LRNC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5.4% [4.1, 6.9]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78.8% [48.09, 163.4]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NonCALC Matrix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13.6% [10.8, 16.4]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32.61% [24.87, 41.94]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Total Plaque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13.2% [10.4, 16.0]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27.08% [20.68, 34.74]</w:t>
            </w:r>
          </w:p>
        </w:tc>
      </w:tr>
    </w:tbl>
    <w:p>
      <w:pPr>
        <w:pStyle w:val="Heading1"/>
      </w:pPr>
      <w:r>
        <w:t>5. Results — variance decomposition (log scale), SUB-SEGMENT (extent-matched)</w:t>
      </w:r>
    </w:p>
    <w:p>
      <w:r>
        <w:rPr>
          <w:b/>
          <w:i w:val="0"/>
        </w:rPr>
        <w:t>v1 sub-seg  (N=25):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Δ bias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σ²_total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σ²_rand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σ²_OQ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σ²_scan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wCV_tot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wCV_scanT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wCV_attrib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Lumen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-0.089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0.01354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0.00996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0.00561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0.00435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6.6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Wall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-0.058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0.01540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0.01431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0.01702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-0.00270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Vessel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-0.083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0.01126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0.00815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0.00754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0.00061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2.5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CALC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+0.079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0.00577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0.00275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0.00202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0.00073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LRNC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+0.043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0.00937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0.00879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0.00291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0.00588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7.7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NonCALC Matrix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-0.167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0.04140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0.02866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0.01833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0.01033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17.1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10.2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Total Plaque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-0.068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0.02274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0.02129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0.01727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0.00402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14.7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6.3</w:t>
            </w:r>
          </w:p>
        </w:tc>
      </w:tr>
    </w:tbl>
    <w:p>
      <w:r>
        <w:rPr>
          <w:b/>
          <w:i w:val="0"/>
        </w:rPr>
        <w:t>v2 sub-seg  (N=25):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Δ bias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σ²_total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σ²_rand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σ²_OQ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σ²_scan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wCV_tot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wCV_scanT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wCV_attrib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Lumen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-0.017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0.01014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0.01042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0.00561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0.00481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6.9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Wall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-0.171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0.03077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0.01680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0.01702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-0.00022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13.0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Vessel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-0.072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0.01028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0.00803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0.00754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0.00049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2.2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CALC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+0.002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0.00392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0.00408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0.00202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0.00206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4.5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LRNC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+0.008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0.00380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0.00392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0.00291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0.00101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3.2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NonCALC Matrix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-0.282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0.07169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0.03316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0.01833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0.01483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12.2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Total Plaque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-0.224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0.04874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0.02467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0.01727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0.00740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22.3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8.6</w:t>
            </w:r>
          </w:p>
        </w:tc>
      </w:tr>
    </w:tbl>
    <w:p>
      <w:r>
        <w:rPr>
          <w:b w:val="0"/>
          <w:i/>
        </w:rPr>
        <w:t>Results are on the sub-segment (extent-matched) region for v1 and v2. σ²_random / σ²_scanner are small (the extent term is removed by the sub-segment intersection) and stable v1→v2 — the 07-07 re-work changed the systematic bias (Gate 4), not the random reproducibility (Gate 3). Gate 4 bias (§8) is assessed on the canonical length-normalized scale — the apples-to-apples match to the length-normalized OQ reference (the sub-segment is a separate extent-controlled view).</w:t>
      </w:r>
    </w:p>
    <w:p>
      <w:pPr>
        <w:pStyle w:val="Heading1"/>
      </w:pPr>
      <w:r>
        <w:t>6. Gate 3 acceptance — scanner-term wCV vs OQ (95% CI overlap; P=pass/F=fail)</w:t>
      </w:r>
    </w:p>
    <w:p>
      <w:r>
        <w:rPr>
          <w:b/>
          <w:i w:val="0"/>
        </w:rPr>
        <w:t>Log scale — process outputs (primary) + plaque: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OQ wCV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v1 sub-seg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v2 sub-seg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Lumen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7.5 [5.9,9.3]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10.0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10.2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Wall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13.1 [10.2,16.0]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12.0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13.0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Vessel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8.7 [6.8,10.6]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9.0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9.0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CALC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4.5 [3.5,5.4]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5.2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6.4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LRNC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5.4 [4.1,6.9]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9.4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6.3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NonCALC Matrix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13.6 [10.8,16.4]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17.1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18.4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Plaque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13.2 [10.4,16.0]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14.7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15.8 P</w:t>
            </w:r>
          </w:p>
        </w:tc>
      </w:tr>
    </w:tbl>
    <w:p>
      <w:r>
        <w:rPr>
          <w:b/>
          <w:i w:val="0"/>
        </w:rPr>
        <w:t>Untransformed scale — plaque (reported on both scales):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OQ wCV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v1 sub-seg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v2 sub-seg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CALC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25.78 [18.7,35.75]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18.6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24.1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LRNC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78.8 [48.09,163.4]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109.6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95.7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NonCALC Matrix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32.61 [24.87,41.94]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35.5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45.7 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Plaque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27.08 [20.68,34.74]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25.7 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35.8 P</w:t>
            </w:r>
          </w:p>
        </w:tc>
      </w:tr>
    </w:tbl>
    <w:p>
      <w:r>
        <w:rPr>
          <w:b w:val="0"/>
          <w:i/>
        </w:rPr>
        <w:t>Cells: scanner-term wCV% and overlap verdict; 95% CIs are in §5 / gate3_comparison.csv.</w:t>
      </w:r>
    </w:p>
    <w:p>
      <w:pPr>
        <w:pStyle w:val="Heading1"/>
      </w:pPr>
      <w:r>
        <w:t>7. Scanner-attributable variance vs OQ — SUB-SEGMENT (variance scale; a: σ²_scan ≤ σ²_OQ, b: CI∋0)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σ²_OQ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v1 sub-seg σ²_scanner [95% CI]  a/b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v2 sub-seg σ²_scanner [95% CI]  a/b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Lumen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0.0056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+0.0043 [-0.0007,+0.0101] P/P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+0.0048 [-0.0012,+0.0113] P/P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Wall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0.0170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-0.0027 [-0.0091,+0.0028] P/P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-0.0002 [-0.0096,+0.0099] P/P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Vessel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0.0075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+0.0006 [-0.0027,+0.0037] P/P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+0.0005 [-0.0033,+0.0047] P/P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CALC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0.0020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+0.0007 [-0.0007,+0.0019] P/P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+0.0021 [-0.0008,+0.0051] F/P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LRNC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0.0029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+0.0059 [-0.0014,+0.0180] F/P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+0.0010 [-0.0021,+0.0060] P/P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NonCALC Matrix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0.0183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+0.0103 [-0.0024,+0.0240] P/P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+0.0148 [-0.0006,+0.0289] P/P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Total Plaque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0.0173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+0.0040 [-0.0052,+0.0128] P/P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+0.0074 [-0.0061,+0.0214] P/P</w:t>
            </w:r>
          </w:p>
        </w:tc>
      </w:tr>
    </w:tbl>
    <w:p>
      <w:r>
        <w:rPr>
          <w:b w:val="0"/>
          <w:i/>
        </w:rPr>
        <w:t>Cells: scanner-attributable variance σ²_scanner = Var(d_log)/2 − σ²_OQ (log scale) with bootstrap 95% CI, on the extent-matched sub-segment. a: σ²_scanner ≤ σ²_OQ (P/F); b: CI includes 0 (P/F). On the variance scale the estimate and its CI lower bound can be NEGATIVE — a negative value / lower bound ≤ 0 means the residual cross-scanner variance is indistinguishable from (or below) the OQ reader+repeat variance. (The equivalent floored wCV% = √(exp(max(σ²,0))−1)×100 is in gate_results/scanner_attributable_subsegment.csv.) After removing reader+repeat (OQ) and traced extent (sub-segment), σ²_scanner is ≤ σ²_OQ and CI-includes-0 for nearly all endpoints.</w:t>
      </w:r>
    </w:p>
    <w:p>
      <w:pPr>
        <w:pStyle w:val="Heading1"/>
      </w:pPr>
      <w:r>
        <w:t>8. Gate 4 — systematic bias (untransformed) vs OQ</w:t>
      </w:r>
    </w:p>
    <w:p>
      <w:r>
        <w:rPr>
          <w:b/>
          <w:i w:val="0"/>
        </w:rPr>
        <w:t>The OQ Bland-Altman bias reference (730-CVV-040 ATTACHMENT 2, "Untransformed analysis") is a fixed, UNTRANSFORMED and LENGTH-NORMALIZED (per-mm) quantity, computed on the full traced vessel (reader-repeat, each read with its own traced extent). The apples-to-apples PCCT comparison is therefore the CANONICAL (full-vessel) length-normalized bias — the same processing as the OQ. (Length-normalization reflects each read's traced extent exactly as in the OQ; the sub-segment intersection is a different, extent-controlled basis the OQ did not use, so it appears only as a raw-mm³ reference.) OQ tabulates only the untransformed BA bias, so no transformed comparison is possible. Plaque endpoints.</w:t>
      </w:r>
    </w:p>
    <w:p>
      <w:r>
        <w:rPr>
          <w:b/>
          <w:i w:val="0"/>
        </w:rPr>
        <w:t>8a. OQ comparison — canonical (full-vessel) length-normalized bias, per-mm. OQ 95% CI vs PCCT v1/v2; overlap P/F.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OQ bias [95% CI]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v1 canonical bias [95% CI]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ov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v2 canonical bias [95% CI]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ov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CALC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+0.020 [-0.01, 0.05]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+0.017 [-0.075,+0.114]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-0.095 [-0.192,-0.004]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LRNC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-0.030 [-0.06, -0.01]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+0.037 [-0.021,+0.122]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-0.009 [-0.052,+0.043]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NonCALC Matrix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-0.070 [-0.19, 0.05]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-0.427 [-0.689,-0.189]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-0.626 [-0.876,-0.398]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Total Plaque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-0.050 [-0.19, 0.08]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-0.373 [-0.749,-0.018]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-0.730 [-1.106,-0.398]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F</w:t>
            </w:r>
          </w:p>
        </w:tc>
      </w:tr>
    </w:tbl>
    <w:p>
      <w:r>
        <w:rPr>
          <w:b/>
          <w:i w:val="0"/>
        </w:rPr>
        <w:t>8b. Raw-mm³ bias reference (actual volume differences; not length-normalized). Canonical retains the extent differential; sub-segment is extent-matched.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v1 canon (mm³)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v2 canon (mm³)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v1 sub-seg (mm³)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v2 sub-seg (mm³)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CALC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+27.7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-3.2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+24.9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+0.0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LRNC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+5.6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+6.5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-1.4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NonCALC Matrix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-65.2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-108.9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-76.6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-111.2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Total Plaque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-31.9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-116.2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-45.2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-111.1</w:t>
            </w:r>
          </w:p>
        </w:tc>
      </w:tr>
    </w:tbl>
    <w:p>
      <w:r>
        <w:rPr>
          <w:b w:val="0"/>
          <w:i/>
        </w:rPr>
        <w:t>Note: on the OQ-comparable canonical length-normalized basis, CALC and LRNC overlap the OQ bias CI (v2), while NonCALC Matrix and Total Plaque do not — a real modality bias (PCCT lower). The bias grew v1→v2 (07-07 re-work). Length-normalized per-mm values carry each read's traced extent (as in the OQ); the raw-mm³ columns and the extent-matched sub-segment (§6/§7) disentangle composition from extent.</w:t>
      </w:r>
    </w:p>
    <w:p>
      <w:r>
        <w:rPr>
          <w:b/>
          <w:i w:val="0"/>
        </w:rPr>
        <w:t>8c. Per-patient v1→v2 shift (untransformed &amp; log). v1 = light, v2 = dark; grey arrows show each patient's shift; dashed = v1 mean bias, solid = v2 mean bias.</w:t>
      </w:r>
    </w:p>
    <w:p>
      <w:r>
        <w:drawing>
          <wp:inline xmlns:a="http://schemas.openxmlformats.org/drawingml/2006/main" xmlns:pic="http://schemas.openxmlformats.org/drawingml/2006/picture">
            <wp:extent cx="6217920" cy="2620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shift_CALCV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17920" cy="2620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shift_LRNCV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17920" cy="26202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shift_NonCALCMATXV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17920" cy="2620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shift_TotalPlaqueVolu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17920" cy="26202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shift_LumenV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17920" cy="26202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shift_WallV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17920" cy="26202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_shift_VesselVo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2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Interpretation</w:t>
      </w:r>
    </w:p>
    <w:p>
      <w:pPr>
        <w:pStyle w:val="ListBullet"/>
      </w:pPr>
      <w:r>
        <w:t>With the scanner term (systematic bias removed), the process outputs (Lumen, Wall, Vessel) pass the OQ CI-overlap on BOTH data vintages, canonical region — no sub-segment alignment required. The essential ingredient is separating the systematic scanner bias into Gate 4.</w:t>
      </w:r>
    </w:p>
    <w:p>
      <w:pPr>
        <w:pStyle w:val="ListBullet"/>
      </w:pPr>
      <w:r>
        <w:t>The variance decomposition shows σ²_random / σ²_scanner are vintage-stable; the 07-07 re-work increased the systematic bias Δ, not the random dispersion.</w:t>
      </w:r>
    </w:p>
    <w:p>
      <w:pPr>
        <w:pStyle w:val="ListBullet"/>
      </w:pPr>
      <w:r>
        <w:t>Plaque reproducibility depends on scale: on the untransformed scale (wide OQ CIs) all plaque endpoints overlap; on the log scale the tightest-limit component (CALC) is borderline and just fails on v2. Both scales are reported.</w:t>
      </w:r>
    </w:p>
    <w:p>
      <w:pPr>
        <w:pStyle w:val="ListBullet"/>
      </w:pPr>
      <w:r>
        <w:t>Scanner-attributable variance (Var(d)/2 − σ²_OQ) is ≤ the OQ limit / CI-includes-0 for most endpoints on the canonical region, and on the extent-controlled sub-segment region (regenerated on v2, N=25) it is ≤ OQ / CI-includes-0 for nearly all endpoints — i.e. after removing reader+repeat (OQ) and traced extent (sub-segment), the residual scanner-attributable variability is within the OQ envelope.</w:t>
      </w:r>
    </w:p>
    <w:p>
      <w:pPr>
        <w:pStyle w:val="Heading1"/>
      </w:pPr>
      <w:r>
        <w:t>10. Caveats &amp; future work</w:t>
      </w:r>
    </w:p>
    <w:p>
      <w:pPr>
        <w:pStyle w:val="ListBullet"/>
      </w:pPr>
      <w:r>
        <w:t>N = 25 canonical / 25 sub-segment, preliminary (target ≥ 30); passes are CI-overlap-driven with wide CIs.</w:t>
      </w:r>
    </w:p>
    <w:p>
      <w:pPr>
        <w:pStyle w:val="ListBullet"/>
      </w:pPr>
      <w:r>
        <w:t>Canonical region retains a traced-extent differential (PCCT traces ~+26% longer within shared vessels; Gate 2 REVIEW). The sub-segment (distance-from-ostium) intersection removes it; regenerated on v2 (2026-07-07) data, N=25 (PT-124 excluded — no PCCT∩EID vessel overlap; PT-136 recovered as two left targets, LAD+Diagonal and Circumflex+Marginal). Pipeline: scripts/subsegment/.</w:t>
      </w:r>
    </w:p>
    <w:p>
      <w:pPr>
        <w:pStyle w:val="ListBullet"/>
      </w:pPr>
      <w:r>
        <w:t>Scanner-attributable subtraction assumes the OQ reader+repeat variance is transportable to the PCCT setting, and that PCCT/EID reads are by independent readers (single read per patient·scanner; true scanner isolation would need replicate reads).</w:t>
      </w:r>
    </w:p>
    <w:p>
      <w:pPr>
        <w:pStyle w:val="Heading1"/>
      </w:pPr>
      <w:r>
        <w:t>References</w:t>
      </w:r>
    </w:p>
    <w:p>
      <w:pPr>
        <w:pStyle w:val="ListBullet"/>
      </w:pPr>
      <w:r>
        <w:t>730-CVV-040 v0.1 — B.1P Delta Validation OQ Report (+ ATTACHMENT 2, patient-level results).</w:t>
      </w:r>
    </w:p>
    <w:p>
      <w:pPr>
        <w:pStyle w:val="ListBullet"/>
      </w:pPr>
      <w:r>
        <w:t>4-B1P-033 v2.0 — B.1P Operational Qualification Report.</w:t>
      </w:r>
    </w:p>
    <w:p>
      <w:pPr>
        <w:pStyle w:val="ListBullet"/>
      </w:pPr>
      <w:r>
        <w:t>Quan H, Shih WJ (1996). Assessing reproducibility by the within-subject coefficient of variation with random effects models. Biometrics 52:1195-1203.</w:t>
      </w:r>
    </w:p>
    <w:p>
      <w:pPr>
        <w:pStyle w:val="ListBullet"/>
      </w:pPr>
      <w:r>
        <w:t>Shoukri MM, Elkum N, Walter SD (2006). Interval estimation and optimal design for the within-subject coefficient of variation. BMC Med Res Methodol 6:24.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