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SUB-SEGMENT (extent-matched)</w:t>
      </w:r>
    </w:p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0.00481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-0.00022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0.07169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0.04874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0.02467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8.6</w:t>
            </w:r>
          </w:p>
        </w:tc>
      </w:tr>
    </w:tbl>
    <w:p>
      <w:r>
        <w:rPr>
          <w:b w:val="0"/>
          <w:i/>
        </w:rPr>
        <w:t>Results are on the sub-segment (extent-matched) region for v1 and v2. σ²_random / σ²_scanner are small (the extent term is removed by the sub-segment intersection) and stable v1→v2 — the 07-07 re-work changed the systematic bias (Gate 4), not the random reproducibility (Gate 3). Gate 4 bias (§8) is assessed on the extent-matched sub-segment length-normalized scale (the OQ-comparable basis; canonical per-mm is confounded by the PCCT extent differential).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15.8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35.8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6.9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F/P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8.6 P/P</w:t>
            </w:r>
          </w:p>
        </w:tc>
      </w:tr>
    </w:tbl>
    <w:p>
      <w:r>
        <w:rPr>
          <w:b w:val="0"/>
          <w:i/>
        </w:rPr>
        <w:t>Cells: scanner-attributable wCV%  a/b (P/F), on the extent-matched sub-segment. σ²_scanner = Var(d_log)/2 − σ²_OQ; with reader+repeat (OQ) and extent (sub-segment) removed, the residual scanner-attributable variability is ≤ OQ / CI-includes-0 for nearly all endpoints.</w:t>
      </w:r>
    </w:p>
    <w:p>
      <w:pPr>
        <w:pStyle w:val="Heading1"/>
      </w:pPr>
      <w:r>
        <w:t>8. Gate 4 — systematic bias (untransformed) vs OQ</w:t>
      </w:r>
    </w:p>
    <w:p>
      <w:r>
        <w:rPr>
          <w:b/>
          <w:i w:val="0"/>
        </w:rPr>
        <w:t>The OQ Bland-Altman bias reference (730-CVV-040 ATTACHMENT 2, "Untransformed analysis") is UNTRANSFORMED and LENGTH-NORMALIZED (per-mm), from within-scan reader-repeat — i.e. with NO extent differential. The like-for-like PCCT comparison must therefore also be extent-matched: the SUB-SEGMENT length-normalized bias. Canonical length-normalization is NOT used for the OQ comparison because PCCT traces ~+19% longer than EID on the full vessel, so dividing by the larger PCCT length spuriously depresses every PCCT per-mm value (e.g. CALC raw Δ ≈ 0 but canonical per-mm −0.095, vs +0.006 on the extent-matched sub-segment). Canonical and sub-segment RAW-mm³ biases are shown as reference. OQ tabulates only the untransformed BA bias, so no transformed comparison is possible. Plaque endpoints.</w:t>
      </w:r>
    </w:p>
    <w:p>
      <w:r>
        <w:rPr>
          <w:b/>
          <w:i w:val="0"/>
        </w:rPr>
        <w:t>8a. OQ comparison — sub-segment (extent-matched) length-normalized bias, per-mm. OQ 95% CI vs PCCT v1/v2; overlap P/F.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+0.020 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+0.160 [+0.092,+0.238]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+0.006 [-0.064,+0.071]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-0.030 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+0.052 [-0.002,+0.134]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+0.007 [-0.032,+0.056]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-0.070 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-0.404 [-0.663,-0.159]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-0.584 [-0.849,-0.341]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-0.050 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-0.192 [-0.489,+0.106]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-0.578 [-0.878,-0.298]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</w:tbl>
    <w:p>
      <w:r>
        <w:rPr>
          <w:b/>
          <w:i w:val="0"/>
        </w:rPr>
        <w:t>8b. Raw-mm³ bias reference (actual volume differences; not length-normalized). Canonical retains the extent differential; sub-segment is extent-matched.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v1 canon (mm³)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v2 canon (mm³)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v1 sub-seg (mm³)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v2 sub-seg (mm³)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+27.7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-3.2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+24.9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+5.6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-4.2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+6.5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-65.2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-108.9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-76.6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-111.2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-31.9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-116.2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-45.2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-111.1</w:t>
            </w:r>
          </w:p>
        </w:tc>
      </w:tr>
    </w:tbl>
    <w:p>
      <w:r>
        <w:rPr>
          <w:b w:val="0"/>
          <w:i/>
        </w:rPr>
        <w:t>Note: on the extent-matched sub-segment (the OQ-comparable basis) CALC and LRNC overlap the OQ bias CI (near-zero bias), while NonCALC Matrix and Total Plaque do not — a real modality bias (PCCT lower). The bias grew v1→v2 (07-07 re-work) and persists on the sub-segment (raw column), so it is within the shared centerline, not the traced-extent tail.</w:t>
      </w:r>
    </w:p>
    <w:p>
      <w:r>
        <w:rPr>
          <w:b/>
          <w:i w:val="0"/>
        </w:rPr>
        <w:t>8c. Per-patient v1→v2 shift (untransformed &amp; log). v1 = light, v2 = dark; grey arrows show each patient's shift; dashed = v1 mean bias, solid = v2 mean bias.</w:t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CALCV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RNCV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NonCALCMATXV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TotalPlaqueVolu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umenV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Wall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VesselV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N=25)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25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N=25 (PT-124 excluded — no PCCT∩EID vessel overlap; PT-136 recovered as two left targets, LAD+Diagonal and Circumflex+Marginal).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