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scale), canonical &amp; sub-segment</w:t>
      </w:r>
    </w:p>
    <w:p>
      <w:r>
        <w:rPr>
          <w:b/>
          <w:i w:val="0"/>
        </w:rPr>
        <w:t>v1 canonical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0.02844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0.03434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0.04670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0.03016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-0.136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0.03232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12.3</w:t>
            </w:r>
          </w:p>
        </w:tc>
      </w:tr>
    </w:tbl>
    <w:p>
      <w:r>
        <w:rPr>
          <w:b/>
          <w:i w:val="0"/>
        </w:rPr>
        <w:t>v1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0.00435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0.01431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-0.00270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+0.043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0.04140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0.02866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0.02274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0.02129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</w:tr>
    </w:tbl>
    <w:p>
      <w:r>
        <w:rPr>
          <w:b/>
          <w:i w:val="0"/>
        </w:rPr>
        <w:t>v2 canonical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0.01254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8.3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0.03159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0.07247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0.02954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0.07034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0.03364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0.01637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12.8</w:t>
            </w:r>
          </w:p>
        </w:tc>
      </w:tr>
    </w:tbl>
    <w:p>
      <w:r>
        <w:rPr>
          <w:b/>
          <w:i w:val="0"/>
        </w:rPr>
        <w:t>v2 sub-seg  (N=24):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0.07440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0.01563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-0.228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0.05046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0.02551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22.7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</w:tbl>
    <w:p>
      <w:r>
        <w:rPr>
          <w:b w:val="0"/>
          <w:i/>
        </w:rPr>
        <w:t>Key: within a vintage, σ²_random / σ²_scanner shrink from canonical → sub-segment (the traced-extent term is removed). Across vintages (canonical), σ²_random is stable while Δ (systematic bias) grew v1→v2 — the 07-07 re-work changed the bias (Gate 4), not the random reproducibility (Gate 3).</w:t>
      </w:r>
    </w:p>
    <w:p>
      <w:pPr>
        <w:pStyle w:val="Heading1"/>
      </w:pPr>
      <w:r>
        <w:t>6. Gate 3 acceptance — scanner-term wCV vs OQ (95% CI overlap; P=pass/F=fail)</w:t>
      </w:r>
    </w:p>
    <w:p>
      <w:r>
        <w:rPr>
          <w:b/>
          <w:i w:val="0"/>
        </w:rPr>
        <w:t>Log scale — process outputs (primary) + plaque: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7.5 [5.9,9.3]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10.4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13.1 [10.2,16.0]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17.9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13.3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8.7 [6.8,10.6]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4.5 [3.5,5.4]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6.5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5.4 [4.1,6.9]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6.4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13.6 [10.8,16.4]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17.3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18.6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 [10.4,16.0]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16.1 P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25.78 [18.7,35.75]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23.7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78.8 [48.09,163.4]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124.7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109.6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98.2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95.1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32.61 [24.87,41.94]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38.3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40.8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45.1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27.08 [20.68,34.74]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34.4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37.9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35.3 P</w:t>
            </w:r>
          </w:p>
        </w:tc>
      </w:tr>
    </w:tbl>
    <w:p>
      <w:r>
        <w:rPr>
          <w:b w:val="0"/>
          <w:i/>
        </w:rPr>
        <w:t>Cells: scanner-term wCV% and overlap verdict; 95% CIs are in §5 / gate3_comparison.csv.</w:t>
      </w:r>
    </w:p>
    <w:p>
      <w:pPr>
        <w:pStyle w:val="Heading1"/>
      </w:pPr>
      <w:r>
        <w:t>7. Scanner-attributable variance vs OQ — canonical vs sub-segment (a: wCV≤OQ, b: CI∋0)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6.6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8.3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7.2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11.9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12.1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2.2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9.9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2.5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5.8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7.8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4.7 F/P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8.4 F/P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7.7 F/P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4.7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3.4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10.9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10.2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10.6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12.6 P/F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12.3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6.3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12.8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P/P</w:t>
            </w:r>
          </w:p>
        </w:tc>
      </w:tr>
    </w:tbl>
    <w:p>
      <w:r>
        <w:rPr>
          <w:b w:val="0"/>
          <w:i/>
        </w:rPr>
        <w:t>Cells: scanner-attributable wCV%  a/b (P/F). Canonical still contains the traced-extent term; sub-segment removes it — scanner-attributable variance drops accordingly and is ≤ OQ / CI-includes-0 for nearly all endpoints on sub-segment.</w:t>
      </w:r>
    </w:p>
    <w:p>
      <w:pPr>
        <w:pStyle w:val="Heading1"/>
      </w:pPr>
      <w:r>
        <w:t>8. Gate 4 — systematic bias, both scales (log Bland-Altman &amp; untransformed)</w:t>
      </w:r>
    </w:p>
    <w:p>
      <w:r>
        <w:rPr>
          <w:b/>
          <w:i w:val="0"/>
        </w:rPr>
        <w:t>8a. LOG scale — systematic PCCT−EID bias Δ on the log(x+1), length-normalized scale. Acceptance: PCCT bias 95% CI overlaps the 730-CVV-040 Table 6 inter-observer bias 95% CI (which essentially includes 0). Plaque only (Table 6 = plaque BA refs). P=overlap/pass.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[-0.01,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+0.005 [-0.037,+0.045]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+0.079 [+0.051,+0.108]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-0.060 [-0.109,-0.013]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+0.003 [-0.033,+0.038]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[-0.06, -0.01]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+0.026 [-0.021,+0.089]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+0.043 [-0.001,+0.100]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-0.008 [-0.043,+0.034]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+0.009 [-0.023,+0.048]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[-0.19,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-0.188 [-0.284,-0.096]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-0.167 [-0.255,-0.078]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-0.297 [-0.393,-0.199]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-0.289 [-0.393,-0.188]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[-0.19, 0.08]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-0.136 [-0.233,-0.039]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-0.068 [-0.143,+0.014]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-0.276 [-0.376,-0.180]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-0.228 [-0.319,-0.142] P</w:t>
            </w:r>
          </w:p>
        </w:tc>
      </w:tr>
    </w:tbl>
    <w:p>
      <w:r>
        <w:rPr>
          <w:b/>
          <w:i w:val="0"/>
        </w:rPr>
        <w:t>8b. UNTRANSFORMED (non-log) scale — bias as % of mean on RAW (non-normalized) volumes (matches gate_summary / HTML report / the traditional Gate 4), vs the project |bias| &lt; 10% of mean threshold. P=pass. No OQ untransformed BA-bias reference — project-specific criterion. e.g. NonCALC Matrix v2 canonical bias ≈ −108.9 mm³ (47% of mean).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threshold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&lt;10%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19.2%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21.3%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2.7%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0.2%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&lt;10%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21.0%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29.7%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17.2%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6.6%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&lt;10%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24.6%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36.6%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47.0%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64.8% 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&lt;10%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7.3%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13.0%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31.3%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42.3% F</w:t>
            </w:r>
          </w:p>
        </w:tc>
      </w:tr>
    </w:tbl>
    <w:p>
      <w:r>
        <w:rPr>
          <w:b w:val="0"/>
          <w:i/>
        </w:rPr>
        <w:t>Full BA bias/LoA/proportional-bias detail and the OQ-overlay plots are in gate_results/qualification_report.html (canonical) and the gate_summary.txt sub-segment section + gate_results/bland_altman_plots_subsegment/ (sub-segment). Note the systematic plaque bias grew v1→v2 (07-07 re-work) and does NOT shrink to overlap on sub-segment — the bias is within the shared centerline, not at the traced-extent tail (consistent with the earlier sub-segment finding).</w:t>
      </w:r>
    </w:p>
    <w:p>
      <w:pPr>
        <w:pStyle w:val="Heading1"/>
      </w:pPr>
      <w:r>
        <w:t>9.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on the canonical region, and on the extent-controlled sub-segment region (regenerated on v2, N=24) it is ≤ OQ / CI-includes-0 for nearly all endpoints — i.e. after removing reader+repeat (OQ) and traced extent (sub-segment), the residual scanner-attributable variability is within the OQ envelope.</w:t>
      </w:r>
    </w:p>
    <w:p>
      <w:pPr>
        <w:pStyle w:val="Heading1"/>
      </w:pPr>
      <w:r>
        <w:t>10. Caveats &amp; future work</w:t>
      </w:r>
    </w:p>
    <w:p>
      <w:pPr>
        <w:pStyle w:val="ListBullet"/>
      </w:pPr>
      <w:r>
        <w:t>N = 25 canonical / 24 sub-segment,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The sub-segment (distance-from-ostium) intersection removes it; regenerated on v2 (2026-07-07) data, N=24 (PT-124 no vessel overlap, PT-136 duplicate LeftCoronary in workitem.json — both excluded). Pipeline: scripts/subsegment/.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