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DDAD" w14:textId="6F6B3E46" w:rsidR="00CF2F43" w:rsidRPr="00B86B18" w:rsidRDefault="00CF2F43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86B18">
        <w:rPr>
          <w:rFonts w:ascii="Times New Roman" w:hAnsi="Times New Roman" w:cs="Times New Roman"/>
          <w:sz w:val="24"/>
        </w:rPr>
        <w:t>Antibiotic resistance is an ancient phenomenon born of microbial interactions</w:t>
      </w:r>
      <w:r w:rsidR="00E93617" w:rsidRPr="00B86B18">
        <w:rPr>
          <w:rFonts w:ascii="Times New Roman" w:hAnsi="Times New Roman" w:cs="Times New Roman"/>
          <w:sz w:val="24"/>
        </w:rPr>
        <w:t xml:space="preserve"> and furthered by mutations and horizontal gene transfer (4)</w:t>
      </w:r>
      <w:r w:rsidRPr="00B86B18">
        <w:rPr>
          <w:rFonts w:ascii="Times New Roman" w:hAnsi="Times New Roman" w:cs="Times New Roman"/>
          <w:sz w:val="24"/>
        </w:rPr>
        <w:t>.</w:t>
      </w:r>
      <w:r w:rsidR="00E93617" w:rsidRPr="00B86B18">
        <w:rPr>
          <w:rFonts w:ascii="Times New Roman" w:hAnsi="Times New Roman" w:cs="Times New Roman"/>
          <w:sz w:val="24"/>
        </w:rPr>
        <w:t xml:space="preserve"> The rise of antibiotic resistance has created a major public health crisis as humans rely heavily on antibiotics to control infectious diseases</w:t>
      </w:r>
      <w:r w:rsidR="007903DC" w:rsidRPr="00B86B18">
        <w:rPr>
          <w:rFonts w:ascii="Times New Roman" w:hAnsi="Times New Roman" w:cs="Times New Roman"/>
          <w:sz w:val="24"/>
        </w:rPr>
        <w:t>,</w:t>
      </w:r>
      <w:r w:rsidR="00E93617" w:rsidRPr="00B86B18">
        <w:rPr>
          <w:rFonts w:ascii="Times New Roman" w:hAnsi="Times New Roman" w:cs="Times New Roman"/>
          <w:sz w:val="24"/>
        </w:rPr>
        <w:t xml:space="preserve"> which are now becoming increasingly resistant to extant treatments.  </w:t>
      </w:r>
      <w:r w:rsidRPr="00B86B18">
        <w:rPr>
          <w:rFonts w:ascii="Times New Roman" w:hAnsi="Times New Roman" w:cs="Times New Roman"/>
          <w:sz w:val="24"/>
        </w:rPr>
        <w:t xml:space="preserve">In past studies, it has been discovered that homologous multi-drug efflux pumps are conserved across species of microorganisms, but small differences can result in different determinants of resistance; this conservation also suggests that the multi-drug resistant efflux pump is an ancient mechanism that has been evolutionarily preserved in microorganisms (2). I will contribute to our understanding of the fundamental processes underlying antibiotic resistance, thus allowing us to design more effective drugs and preserve our antibiotic drug arsenal. </w:t>
      </w:r>
      <w:r w:rsidR="00E93617" w:rsidRPr="00B86B18">
        <w:rPr>
          <w:rFonts w:ascii="Times New Roman" w:hAnsi="Times New Roman" w:cs="Times New Roman"/>
          <w:sz w:val="24"/>
        </w:rPr>
        <w:t>Most</w:t>
      </w:r>
      <w:r w:rsidRPr="00B86B18">
        <w:rPr>
          <w:rFonts w:ascii="Times New Roman" w:hAnsi="Times New Roman" w:cs="Times New Roman"/>
          <w:sz w:val="24"/>
        </w:rPr>
        <w:t xml:space="preserve"> research </w:t>
      </w:r>
      <w:r w:rsidR="00E93617" w:rsidRPr="00B86B18">
        <w:rPr>
          <w:rFonts w:ascii="Times New Roman" w:hAnsi="Times New Roman" w:cs="Times New Roman"/>
          <w:sz w:val="24"/>
        </w:rPr>
        <w:t xml:space="preserve">conducted </w:t>
      </w:r>
      <w:r w:rsidRPr="00B86B18">
        <w:rPr>
          <w:rFonts w:ascii="Times New Roman" w:hAnsi="Times New Roman" w:cs="Times New Roman"/>
          <w:sz w:val="24"/>
        </w:rPr>
        <w:t xml:space="preserve">on this topic has characterized the MexAB-OprM </w:t>
      </w:r>
      <w:r w:rsidR="001E4A72" w:rsidRPr="00B86B18">
        <w:rPr>
          <w:rFonts w:ascii="Times New Roman" w:hAnsi="Times New Roman" w:cs="Times New Roman"/>
          <w:sz w:val="24"/>
        </w:rPr>
        <w:t>efflux pump</w:t>
      </w:r>
      <w:r w:rsidRPr="00B86B18">
        <w:rPr>
          <w:rFonts w:ascii="Times New Roman" w:hAnsi="Times New Roman" w:cs="Times New Roman"/>
          <w:sz w:val="24"/>
        </w:rPr>
        <w:t xml:space="preserve"> in </w:t>
      </w:r>
      <w:r w:rsidRPr="00B86B18">
        <w:rPr>
          <w:rFonts w:ascii="Times New Roman" w:hAnsi="Times New Roman" w:cs="Times New Roman"/>
          <w:i/>
          <w:sz w:val="24"/>
        </w:rPr>
        <w:t>Pseudomonas aeruginosa</w:t>
      </w:r>
      <w:r w:rsidRPr="00B86B18">
        <w:rPr>
          <w:rFonts w:ascii="Times New Roman" w:hAnsi="Times New Roman" w:cs="Times New Roman"/>
          <w:sz w:val="24"/>
        </w:rPr>
        <w:t>, a model organism and an opportunistic pathogen mainly affecting cystic fibrosis patients</w:t>
      </w:r>
      <w:r w:rsidR="00E93617" w:rsidRPr="00B86B18">
        <w:rPr>
          <w:rFonts w:ascii="Times New Roman" w:hAnsi="Times New Roman" w:cs="Times New Roman"/>
          <w:sz w:val="24"/>
        </w:rPr>
        <w:t>.</w:t>
      </w:r>
      <w:r w:rsidRPr="00B86B18">
        <w:rPr>
          <w:rFonts w:ascii="Times New Roman" w:hAnsi="Times New Roman" w:cs="Times New Roman"/>
          <w:i/>
          <w:sz w:val="24"/>
        </w:rPr>
        <w:t xml:space="preserve"> </w:t>
      </w:r>
      <w:r w:rsidR="00E93617" w:rsidRPr="00B86B18">
        <w:rPr>
          <w:rFonts w:ascii="Times New Roman" w:hAnsi="Times New Roman" w:cs="Times New Roman"/>
          <w:sz w:val="24"/>
        </w:rPr>
        <w:t>It has been found that this efflux pump is</w:t>
      </w:r>
      <w:r w:rsidRPr="00B86B18">
        <w:rPr>
          <w:rFonts w:ascii="Times New Roman" w:hAnsi="Times New Roman" w:cs="Times New Roman"/>
          <w:sz w:val="24"/>
        </w:rPr>
        <w:t xml:space="preserve"> a major determinant of resistance to antibiotics and biocides</w:t>
      </w:r>
      <w:r w:rsidR="00E93617" w:rsidRPr="00B86B18">
        <w:rPr>
          <w:rFonts w:ascii="Times New Roman" w:hAnsi="Times New Roman" w:cs="Times New Roman"/>
          <w:sz w:val="24"/>
        </w:rPr>
        <w:t xml:space="preserve"> in </w:t>
      </w:r>
      <w:r w:rsidR="00E93617" w:rsidRPr="00B86B18">
        <w:rPr>
          <w:rFonts w:ascii="Times New Roman" w:hAnsi="Times New Roman" w:cs="Times New Roman"/>
          <w:i/>
          <w:sz w:val="24"/>
        </w:rPr>
        <w:t>P. aeruginosa</w:t>
      </w:r>
      <w:r w:rsidRPr="00B86B18">
        <w:rPr>
          <w:rFonts w:ascii="Times New Roman" w:hAnsi="Times New Roman" w:cs="Times New Roman"/>
          <w:sz w:val="24"/>
        </w:rPr>
        <w:t xml:space="preserve"> (3)</w:t>
      </w:r>
      <w:r w:rsidR="00E93617" w:rsidRPr="00B86B18">
        <w:rPr>
          <w:rFonts w:ascii="Times New Roman" w:hAnsi="Times New Roman" w:cs="Times New Roman"/>
          <w:sz w:val="24"/>
        </w:rPr>
        <w:t xml:space="preserve">. However, </w:t>
      </w:r>
      <w:r w:rsidRPr="00B86B18">
        <w:rPr>
          <w:rFonts w:ascii="Times New Roman" w:hAnsi="Times New Roman" w:cs="Times New Roman"/>
          <w:sz w:val="24"/>
        </w:rPr>
        <w:t>little research has been conduct</w:t>
      </w:r>
      <w:r w:rsidR="007903DC" w:rsidRPr="00B86B18">
        <w:rPr>
          <w:rFonts w:ascii="Times New Roman" w:hAnsi="Times New Roman" w:cs="Times New Roman"/>
          <w:sz w:val="24"/>
        </w:rPr>
        <w:t>ed</w:t>
      </w:r>
      <w:r w:rsidRPr="00B86B18">
        <w:rPr>
          <w:rFonts w:ascii="Times New Roman" w:hAnsi="Times New Roman" w:cs="Times New Roman"/>
          <w:sz w:val="24"/>
        </w:rPr>
        <w:t xml:space="preserve"> on this homologous system in other strains. </w:t>
      </w:r>
      <w:r w:rsidR="001E4A72" w:rsidRPr="00B86B18">
        <w:rPr>
          <w:rFonts w:ascii="Times New Roman" w:hAnsi="Times New Roman" w:cs="Times New Roman"/>
          <w:sz w:val="24"/>
        </w:rPr>
        <w:t xml:space="preserve"> In this project, I will </w:t>
      </w:r>
      <w:r w:rsidR="007903DC" w:rsidRPr="00B86B18">
        <w:rPr>
          <w:rFonts w:ascii="Times New Roman" w:hAnsi="Times New Roman" w:cs="Times New Roman"/>
          <w:sz w:val="24"/>
        </w:rPr>
        <w:t>assess</w:t>
      </w:r>
      <w:r w:rsidR="001E4A72" w:rsidRPr="00B86B18">
        <w:rPr>
          <w:rFonts w:ascii="Times New Roman" w:hAnsi="Times New Roman" w:cs="Times New Roman"/>
          <w:sz w:val="24"/>
        </w:rPr>
        <w:t xml:space="preserve"> the genetic factors involved in antibiotic resistance in different strains of the bacteria </w:t>
      </w:r>
      <w:r w:rsidR="001E4A72" w:rsidRPr="00B86B18">
        <w:rPr>
          <w:rFonts w:ascii="Times New Roman" w:hAnsi="Times New Roman" w:cs="Times New Roman"/>
          <w:i/>
          <w:sz w:val="24"/>
        </w:rPr>
        <w:t>Pseudomonas.</w:t>
      </w:r>
      <w:r w:rsidR="001E4A72" w:rsidRPr="00B86B18">
        <w:rPr>
          <w:rFonts w:ascii="Times New Roman" w:hAnsi="Times New Roman" w:cs="Times New Roman"/>
          <w:sz w:val="24"/>
        </w:rPr>
        <w:t xml:space="preserve"> By explaining</w:t>
      </w:r>
      <w:r w:rsidRPr="00B86B18">
        <w:rPr>
          <w:rFonts w:ascii="Times New Roman" w:hAnsi="Times New Roman" w:cs="Times New Roman"/>
          <w:sz w:val="24"/>
        </w:rPr>
        <w:t xml:space="preserve"> how this system works in </w:t>
      </w:r>
      <w:r w:rsidRPr="00B86B18">
        <w:rPr>
          <w:rFonts w:ascii="Times New Roman" w:hAnsi="Times New Roman" w:cs="Times New Roman"/>
          <w:i/>
          <w:sz w:val="24"/>
        </w:rPr>
        <w:t xml:space="preserve">P. fulva </w:t>
      </w:r>
      <w:r w:rsidRPr="00B86B18">
        <w:rPr>
          <w:rFonts w:ascii="Times New Roman" w:hAnsi="Times New Roman" w:cs="Times New Roman"/>
          <w:sz w:val="24"/>
        </w:rPr>
        <w:t xml:space="preserve">and </w:t>
      </w:r>
      <w:r w:rsidRPr="00B86B18">
        <w:rPr>
          <w:rFonts w:ascii="Times New Roman" w:hAnsi="Times New Roman" w:cs="Times New Roman"/>
          <w:i/>
          <w:sz w:val="24"/>
        </w:rPr>
        <w:t>P. stutzeri</w:t>
      </w:r>
      <w:r w:rsidR="001E4A72" w:rsidRPr="00B86B18">
        <w:rPr>
          <w:rFonts w:ascii="Times New Roman" w:hAnsi="Times New Roman" w:cs="Times New Roman"/>
          <w:sz w:val="24"/>
        </w:rPr>
        <w:t>, I will</w:t>
      </w:r>
      <w:r w:rsidRPr="00B86B18">
        <w:rPr>
          <w:rFonts w:ascii="Times New Roman" w:hAnsi="Times New Roman" w:cs="Times New Roman"/>
          <w:sz w:val="24"/>
        </w:rPr>
        <w:t xml:space="preserve"> further </w:t>
      </w:r>
      <w:r w:rsidR="001E4A72" w:rsidRPr="00B86B18">
        <w:rPr>
          <w:rFonts w:ascii="Times New Roman" w:hAnsi="Times New Roman" w:cs="Times New Roman"/>
          <w:sz w:val="24"/>
        </w:rPr>
        <w:t>our</w:t>
      </w:r>
      <w:r w:rsidRPr="00B86B18">
        <w:rPr>
          <w:rFonts w:ascii="Times New Roman" w:hAnsi="Times New Roman" w:cs="Times New Roman"/>
          <w:sz w:val="24"/>
        </w:rPr>
        <w:t xml:space="preserve"> understanding of antibiotic resistance </w:t>
      </w:r>
      <w:r w:rsidR="001E4A72" w:rsidRPr="00B86B18">
        <w:rPr>
          <w:rFonts w:ascii="Times New Roman" w:hAnsi="Times New Roman" w:cs="Times New Roman"/>
          <w:sz w:val="24"/>
        </w:rPr>
        <w:t>in general</w:t>
      </w:r>
      <w:r w:rsidRPr="00B86B18">
        <w:rPr>
          <w:rFonts w:ascii="Times New Roman" w:hAnsi="Times New Roman" w:cs="Times New Roman"/>
          <w:sz w:val="24"/>
        </w:rPr>
        <w:t>. I would like to find out how differences in the amino acid sequences of the MexAB</w:t>
      </w:r>
      <w:r w:rsidR="001E4A72" w:rsidRPr="00B86B18">
        <w:rPr>
          <w:rFonts w:ascii="Times New Roman" w:hAnsi="Times New Roman" w:cs="Times New Roman"/>
          <w:sz w:val="24"/>
        </w:rPr>
        <w:t>-O</w:t>
      </w:r>
      <w:r w:rsidRPr="00B86B18">
        <w:rPr>
          <w:rFonts w:ascii="Times New Roman" w:hAnsi="Times New Roman" w:cs="Times New Roman"/>
          <w:sz w:val="24"/>
        </w:rPr>
        <w:t>prM operon result in different levels of susceptibility in the different strains.</w:t>
      </w:r>
    </w:p>
    <w:p w14:paraId="7ED92CEB" w14:textId="77777777" w:rsidR="00112C75" w:rsidRPr="00B86B18" w:rsidRDefault="00A65CD7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The two strains I plan to study are </w:t>
      </w:r>
      <w:r w:rsidR="00AF2781" w:rsidRPr="00B86B18">
        <w:rPr>
          <w:rFonts w:ascii="Times New Roman" w:hAnsi="Times New Roman" w:cs="Times New Roman"/>
          <w:i/>
          <w:sz w:val="24"/>
        </w:rPr>
        <w:t xml:space="preserve">P. </w:t>
      </w:r>
      <w:r w:rsidR="00D30896" w:rsidRPr="00B86B18">
        <w:rPr>
          <w:rFonts w:ascii="Times New Roman" w:hAnsi="Times New Roman" w:cs="Times New Roman"/>
          <w:i/>
          <w:sz w:val="24"/>
        </w:rPr>
        <w:t>fulva</w:t>
      </w:r>
      <w:r w:rsidR="00D30896" w:rsidRPr="00B86B18">
        <w:rPr>
          <w:rFonts w:ascii="Times New Roman" w:hAnsi="Times New Roman" w:cs="Times New Roman"/>
          <w:sz w:val="24"/>
        </w:rPr>
        <w:t xml:space="preserve"> and </w:t>
      </w:r>
      <w:r w:rsidR="00AF2781" w:rsidRPr="00B86B18">
        <w:rPr>
          <w:rFonts w:ascii="Times New Roman" w:hAnsi="Times New Roman" w:cs="Times New Roman"/>
          <w:i/>
          <w:sz w:val="24"/>
        </w:rPr>
        <w:t xml:space="preserve">P. </w:t>
      </w:r>
      <w:r w:rsidR="00D30896" w:rsidRPr="00B86B18">
        <w:rPr>
          <w:rFonts w:ascii="Times New Roman" w:hAnsi="Times New Roman" w:cs="Times New Roman"/>
          <w:i/>
          <w:sz w:val="24"/>
        </w:rPr>
        <w:t>stutzeri</w:t>
      </w:r>
      <w:r w:rsidR="004221A1" w:rsidRPr="00B86B18">
        <w:rPr>
          <w:rFonts w:ascii="Times New Roman" w:hAnsi="Times New Roman" w:cs="Times New Roman"/>
          <w:sz w:val="24"/>
        </w:rPr>
        <w:t xml:space="preserve"> as it has already been established via previous experiments that these </w:t>
      </w:r>
      <w:r w:rsidR="007903DC" w:rsidRPr="00B86B18">
        <w:rPr>
          <w:rFonts w:ascii="Times New Roman" w:hAnsi="Times New Roman" w:cs="Times New Roman"/>
          <w:sz w:val="24"/>
        </w:rPr>
        <w:t xml:space="preserve">non-model </w:t>
      </w:r>
      <w:r w:rsidR="004221A1" w:rsidRPr="00B86B18">
        <w:rPr>
          <w:rFonts w:ascii="Times New Roman" w:hAnsi="Times New Roman" w:cs="Times New Roman"/>
          <w:sz w:val="24"/>
        </w:rPr>
        <w:t>strains are resistant to the antibiotic of interest: triclosan (TCS)</w:t>
      </w:r>
      <w:r w:rsidR="00D30896" w:rsidRPr="00B86B18">
        <w:rPr>
          <w:rFonts w:ascii="Times New Roman" w:hAnsi="Times New Roman" w:cs="Times New Roman"/>
          <w:i/>
          <w:sz w:val="24"/>
        </w:rPr>
        <w:t>.</w:t>
      </w:r>
      <w:r w:rsidR="001E4A72" w:rsidRPr="00B86B18">
        <w:rPr>
          <w:rFonts w:ascii="Times New Roman" w:hAnsi="Times New Roman" w:cs="Times New Roman"/>
          <w:i/>
          <w:sz w:val="24"/>
        </w:rPr>
        <w:t xml:space="preserve"> </w:t>
      </w:r>
      <w:r w:rsidR="001E4A72" w:rsidRPr="00B86B18">
        <w:rPr>
          <w:rFonts w:ascii="Times New Roman" w:hAnsi="Times New Roman" w:cs="Times New Roman"/>
          <w:sz w:val="24"/>
        </w:rPr>
        <w:t xml:space="preserve">I hypothesize that resistance in these strains, like in </w:t>
      </w:r>
      <w:r w:rsidR="001E4A72" w:rsidRPr="00B86B18">
        <w:rPr>
          <w:rFonts w:ascii="Times New Roman" w:hAnsi="Times New Roman" w:cs="Times New Roman"/>
          <w:i/>
          <w:sz w:val="24"/>
        </w:rPr>
        <w:t>P. aeruginosa</w:t>
      </w:r>
      <w:r w:rsidR="001E4A72" w:rsidRPr="00B86B18">
        <w:rPr>
          <w:rFonts w:ascii="Times New Roman" w:hAnsi="Times New Roman" w:cs="Times New Roman"/>
          <w:sz w:val="24"/>
        </w:rPr>
        <w:t xml:space="preserve">, is determined by their MexAB-OprM homolog and that interruptions to the genes encoding that efflux pump will result in a loss of resistance. To test that hypothesis, </w:t>
      </w:r>
      <w:r w:rsidR="000E292D" w:rsidRPr="00B86B18">
        <w:rPr>
          <w:rFonts w:ascii="Times New Roman" w:hAnsi="Times New Roman" w:cs="Times New Roman"/>
          <w:sz w:val="24"/>
        </w:rPr>
        <w:t xml:space="preserve">I will </w:t>
      </w:r>
      <w:r w:rsidR="007903DC" w:rsidRPr="00B86B18">
        <w:rPr>
          <w:rFonts w:ascii="Times New Roman" w:hAnsi="Times New Roman" w:cs="Times New Roman"/>
          <w:sz w:val="24"/>
        </w:rPr>
        <w:t>conduct</w:t>
      </w:r>
      <w:r w:rsidR="006A484E" w:rsidRPr="00B86B18">
        <w:rPr>
          <w:rFonts w:ascii="Times New Roman" w:hAnsi="Times New Roman" w:cs="Times New Roman"/>
          <w:sz w:val="24"/>
        </w:rPr>
        <w:t xml:space="preserve"> transposon mutagenesis</w:t>
      </w:r>
      <w:r w:rsidR="00D30896" w:rsidRPr="00B86B18">
        <w:rPr>
          <w:rFonts w:ascii="Times New Roman" w:hAnsi="Times New Roman" w:cs="Times New Roman"/>
          <w:sz w:val="24"/>
        </w:rPr>
        <w:t>,</w:t>
      </w:r>
      <w:r w:rsidR="00DB17E9" w:rsidRPr="00B86B18">
        <w:rPr>
          <w:rFonts w:ascii="Times New Roman" w:hAnsi="Times New Roman" w:cs="Times New Roman"/>
          <w:sz w:val="24"/>
        </w:rPr>
        <w:t xml:space="preserve"> </w:t>
      </w:r>
      <w:r w:rsidR="00B35DEA" w:rsidRPr="00B86B18">
        <w:rPr>
          <w:rFonts w:ascii="Times New Roman" w:hAnsi="Times New Roman" w:cs="Times New Roman"/>
          <w:sz w:val="24"/>
        </w:rPr>
        <w:t xml:space="preserve">a process </w:t>
      </w:r>
      <w:r w:rsidR="007903DC" w:rsidRPr="00B86B18">
        <w:rPr>
          <w:rFonts w:ascii="Times New Roman" w:hAnsi="Times New Roman" w:cs="Times New Roman"/>
          <w:sz w:val="24"/>
        </w:rPr>
        <w:t xml:space="preserve">that </w:t>
      </w:r>
      <w:r w:rsidR="007149EF" w:rsidRPr="00B86B18">
        <w:rPr>
          <w:rFonts w:ascii="Times New Roman" w:hAnsi="Times New Roman" w:cs="Times New Roman"/>
          <w:sz w:val="24"/>
        </w:rPr>
        <w:t xml:space="preserve">involves </w:t>
      </w:r>
      <w:r w:rsidR="00173923" w:rsidRPr="00B86B18">
        <w:rPr>
          <w:rFonts w:ascii="Times New Roman" w:hAnsi="Times New Roman" w:cs="Times New Roman"/>
          <w:sz w:val="24"/>
        </w:rPr>
        <w:t>transforming a</w:t>
      </w:r>
      <w:r w:rsidR="00D55887" w:rsidRPr="00B86B18">
        <w:rPr>
          <w:rFonts w:ascii="Times New Roman" w:hAnsi="Times New Roman" w:cs="Times New Roman"/>
          <w:sz w:val="24"/>
        </w:rPr>
        <w:t xml:space="preserve"> strain of</w:t>
      </w:r>
      <w:r w:rsidR="00173923" w:rsidRPr="00B86B18">
        <w:rPr>
          <w:rFonts w:ascii="Times New Roman" w:hAnsi="Times New Roman" w:cs="Times New Roman"/>
          <w:sz w:val="24"/>
        </w:rPr>
        <w:t xml:space="preserve"> </w:t>
      </w:r>
      <w:r w:rsidR="00173923" w:rsidRPr="00B86B18">
        <w:rPr>
          <w:rFonts w:ascii="Times New Roman" w:hAnsi="Times New Roman" w:cs="Times New Roman"/>
          <w:i/>
          <w:sz w:val="24"/>
        </w:rPr>
        <w:t>Pseudomonas</w:t>
      </w:r>
      <w:r w:rsidR="00173923" w:rsidRPr="00B86B18">
        <w:rPr>
          <w:rFonts w:ascii="Times New Roman" w:hAnsi="Times New Roman" w:cs="Times New Roman"/>
          <w:sz w:val="24"/>
        </w:rPr>
        <w:t xml:space="preserve"> with</w:t>
      </w:r>
      <w:r w:rsidR="001E4A72" w:rsidRPr="00B86B18">
        <w:rPr>
          <w:rFonts w:ascii="Times New Roman" w:hAnsi="Times New Roman" w:cs="Times New Roman"/>
          <w:sz w:val="24"/>
        </w:rPr>
        <w:t xml:space="preserve"> a plasmid containing a transposon. Specifically, the plasmid I am using is</w:t>
      </w:r>
      <w:r w:rsidR="00173923" w:rsidRPr="00B86B18">
        <w:rPr>
          <w:rFonts w:ascii="Times New Roman" w:hAnsi="Times New Roman" w:cs="Times New Roman"/>
          <w:sz w:val="24"/>
        </w:rPr>
        <w:t xml:space="preserve"> </w:t>
      </w:r>
      <w:r w:rsidR="009A4554" w:rsidRPr="00B86B18">
        <w:rPr>
          <w:rFonts w:ascii="Times New Roman" w:hAnsi="Times New Roman" w:cs="Times New Roman"/>
          <w:sz w:val="24"/>
        </w:rPr>
        <w:t>the SM10</w:t>
      </w:r>
      <w:r w:rsidR="00FC5BB7" w:rsidRPr="00B86B18">
        <w:rPr>
          <w:rFonts w:ascii="Times New Roman" w:hAnsi="Times New Roman" w:cs="Times New Roman"/>
          <w:sz w:val="24"/>
        </w:rPr>
        <w:t xml:space="preserve"> </w:t>
      </w:r>
      <w:r w:rsidR="00173923" w:rsidRPr="00B86B18">
        <w:rPr>
          <w:rFonts w:ascii="Times New Roman" w:hAnsi="Times New Roman" w:cs="Times New Roman"/>
          <w:sz w:val="24"/>
        </w:rPr>
        <w:t>plasmid from an</w:t>
      </w:r>
      <w:r w:rsidR="00FC5BB7" w:rsidRPr="00B86B18">
        <w:rPr>
          <w:rFonts w:ascii="Times New Roman" w:hAnsi="Times New Roman" w:cs="Times New Roman"/>
          <w:sz w:val="24"/>
        </w:rPr>
        <w:t xml:space="preserve"> </w:t>
      </w:r>
      <w:r w:rsidR="00FC5BB7" w:rsidRPr="00B86B18">
        <w:rPr>
          <w:rFonts w:ascii="Times New Roman" w:hAnsi="Times New Roman" w:cs="Times New Roman"/>
          <w:i/>
          <w:sz w:val="24"/>
        </w:rPr>
        <w:t>Escherichia</w:t>
      </w:r>
      <w:r w:rsidR="00173923" w:rsidRPr="00B86B18">
        <w:rPr>
          <w:rFonts w:ascii="Times New Roman" w:hAnsi="Times New Roman" w:cs="Times New Roman"/>
          <w:i/>
          <w:sz w:val="24"/>
        </w:rPr>
        <w:t xml:space="preserve"> </w:t>
      </w:r>
      <w:r w:rsidR="009C44C8" w:rsidRPr="00B86B18">
        <w:rPr>
          <w:rFonts w:ascii="Times New Roman" w:hAnsi="Times New Roman" w:cs="Times New Roman"/>
          <w:i/>
          <w:sz w:val="24"/>
        </w:rPr>
        <w:t>c</w:t>
      </w:r>
      <w:r w:rsidR="00173923" w:rsidRPr="00B86B18">
        <w:rPr>
          <w:rFonts w:ascii="Times New Roman" w:hAnsi="Times New Roman" w:cs="Times New Roman"/>
          <w:i/>
          <w:sz w:val="24"/>
        </w:rPr>
        <w:t xml:space="preserve">oli </w:t>
      </w:r>
      <w:r w:rsidR="00173923" w:rsidRPr="00B86B18">
        <w:rPr>
          <w:rFonts w:ascii="Times New Roman" w:hAnsi="Times New Roman" w:cs="Times New Roman"/>
          <w:sz w:val="24"/>
        </w:rPr>
        <w:t>cell containing</w:t>
      </w:r>
      <w:r w:rsidR="00C22B9B" w:rsidRPr="00B86B18">
        <w:rPr>
          <w:rFonts w:ascii="Times New Roman" w:hAnsi="Times New Roman" w:cs="Times New Roman"/>
          <w:sz w:val="24"/>
        </w:rPr>
        <w:t xml:space="preserve"> </w:t>
      </w:r>
      <w:r w:rsidR="00B46DF0" w:rsidRPr="00B86B18">
        <w:rPr>
          <w:rFonts w:ascii="Times New Roman" w:hAnsi="Times New Roman" w:cs="Times New Roman"/>
          <w:sz w:val="24"/>
        </w:rPr>
        <w:t>the Hinmar1</w:t>
      </w:r>
      <w:r w:rsidR="00C22B9B" w:rsidRPr="00B86B18">
        <w:rPr>
          <w:rFonts w:ascii="Times New Roman" w:hAnsi="Times New Roman" w:cs="Times New Roman"/>
          <w:sz w:val="24"/>
        </w:rPr>
        <w:t xml:space="preserve"> transposon</w:t>
      </w:r>
      <w:r w:rsidR="00431B6D" w:rsidRPr="00B86B18">
        <w:rPr>
          <w:rFonts w:ascii="Times New Roman" w:hAnsi="Times New Roman" w:cs="Times New Roman"/>
          <w:sz w:val="24"/>
        </w:rPr>
        <w:t xml:space="preserve"> and a gentamycin resistance gene</w:t>
      </w:r>
      <w:r w:rsidR="00502851" w:rsidRPr="00B86B18">
        <w:rPr>
          <w:rFonts w:ascii="Times New Roman" w:hAnsi="Times New Roman" w:cs="Times New Roman"/>
          <w:sz w:val="24"/>
        </w:rPr>
        <w:t xml:space="preserve"> (5)</w:t>
      </w:r>
      <w:r w:rsidR="00C22B9B" w:rsidRPr="00B86B18">
        <w:rPr>
          <w:rFonts w:ascii="Times New Roman" w:hAnsi="Times New Roman" w:cs="Times New Roman"/>
          <w:sz w:val="24"/>
        </w:rPr>
        <w:t>. The transposon will</w:t>
      </w:r>
      <w:r w:rsidR="00083B69" w:rsidRPr="00B86B18">
        <w:rPr>
          <w:rFonts w:ascii="Times New Roman" w:hAnsi="Times New Roman" w:cs="Times New Roman"/>
          <w:sz w:val="24"/>
        </w:rPr>
        <w:t xml:space="preserve"> </w:t>
      </w:r>
      <w:r w:rsidR="001E4A72" w:rsidRPr="00B86B18">
        <w:rPr>
          <w:rFonts w:ascii="Times New Roman" w:hAnsi="Times New Roman" w:cs="Times New Roman"/>
          <w:sz w:val="24"/>
        </w:rPr>
        <w:t>insert</w:t>
      </w:r>
      <w:r w:rsidR="00314F5F" w:rsidRPr="00B86B18">
        <w:rPr>
          <w:rFonts w:ascii="Times New Roman" w:hAnsi="Times New Roman" w:cs="Times New Roman"/>
          <w:sz w:val="24"/>
        </w:rPr>
        <w:t xml:space="preserve"> </w:t>
      </w:r>
      <w:r w:rsidR="0046535D" w:rsidRPr="00B86B18">
        <w:rPr>
          <w:rFonts w:ascii="Times New Roman" w:hAnsi="Times New Roman" w:cs="Times New Roman"/>
          <w:sz w:val="24"/>
        </w:rPr>
        <w:t xml:space="preserve">at specific sites within the </w:t>
      </w:r>
      <w:r w:rsidR="0046535D" w:rsidRPr="00B86B18">
        <w:rPr>
          <w:rFonts w:ascii="Times New Roman" w:hAnsi="Times New Roman" w:cs="Times New Roman"/>
          <w:i/>
          <w:sz w:val="24"/>
        </w:rPr>
        <w:t>Pseudomonas</w:t>
      </w:r>
      <w:r w:rsidR="0046535D" w:rsidRPr="00B86B18">
        <w:rPr>
          <w:rFonts w:ascii="Times New Roman" w:hAnsi="Times New Roman" w:cs="Times New Roman"/>
          <w:sz w:val="24"/>
        </w:rPr>
        <w:t xml:space="preserve"> genome</w:t>
      </w:r>
      <w:r w:rsidR="001E4A72" w:rsidRPr="00B86B18">
        <w:rPr>
          <w:rFonts w:ascii="Times New Roman" w:hAnsi="Times New Roman" w:cs="Times New Roman"/>
          <w:sz w:val="24"/>
        </w:rPr>
        <w:t>.</w:t>
      </w:r>
      <w:r w:rsidR="0046535D" w:rsidRPr="00B86B18">
        <w:rPr>
          <w:rFonts w:ascii="Times New Roman" w:hAnsi="Times New Roman" w:cs="Times New Roman"/>
          <w:sz w:val="24"/>
        </w:rPr>
        <w:t xml:space="preserve"> </w:t>
      </w:r>
      <w:r w:rsidR="001E4A72" w:rsidRPr="00B86B18">
        <w:rPr>
          <w:rFonts w:ascii="Times New Roman" w:hAnsi="Times New Roman" w:cs="Times New Roman"/>
          <w:sz w:val="24"/>
        </w:rPr>
        <w:t>I</w:t>
      </w:r>
      <w:r w:rsidR="00FF64D7" w:rsidRPr="00B86B18">
        <w:rPr>
          <w:rFonts w:ascii="Times New Roman" w:hAnsi="Times New Roman" w:cs="Times New Roman"/>
          <w:sz w:val="24"/>
        </w:rPr>
        <w:t xml:space="preserve">f </w:t>
      </w:r>
      <w:r w:rsidR="001E4A72" w:rsidRPr="00B86B18">
        <w:rPr>
          <w:rFonts w:ascii="Times New Roman" w:hAnsi="Times New Roman" w:cs="Times New Roman"/>
          <w:sz w:val="24"/>
        </w:rPr>
        <w:t>the transposon</w:t>
      </w:r>
      <w:r w:rsidR="00FF64D7" w:rsidRPr="00B86B18">
        <w:rPr>
          <w:rFonts w:ascii="Times New Roman" w:hAnsi="Times New Roman" w:cs="Times New Roman"/>
          <w:sz w:val="24"/>
        </w:rPr>
        <w:t xml:space="preserve"> inser</w:t>
      </w:r>
      <w:r w:rsidR="001E4A72" w:rsidRPr="00B86B18">
        <w:rPr>
          <w:rFonts w:ascii="Times New Roman" w:hAnsi="Times New Roman" w:cs="Times New Roman"/>
          <w:sz w:val="24"/>
        </w:rPr>
        <w:t>ts</w:t>
      </w:r>
      <w:r w:rsidR="00FF64D7" w:rsidRPr="00B86B18">
        <w:rPr>
          <w:rFonts w:ascii="Times New Roman" w:hAnsi="Times New Roman" w:cs="Times New Roman"/>
          <w:sz w:val="24"/>
        </w:rPr>
        <w:t xml:space="preserve"> into a gene responsible for antibiotic resistance, </w:t>
      </w:r>
      <w:r w:rsidR="00EF24A1" w:rsidRPr="00B86B18">
        <w:rPr>
          <w:rFonts w:ascii="Times New Roman" w:hAnsi="Times New Roman" w:cs="Times New Roman"/>
          <w:sz w:val="24"/>
        </w:rPr>
        <w:t>this phenotype will be knocked out</w:t>
      </w:r>
      <w:r w:rsidR="00886425" w:rsidRPr="00B86B18">
        <w:rPr>
          <w:rFonts w:ascii="Times New Roman" w:hAnsi="Times New Roman" w:cs="Times New Roman"/>
          <w:sz w:val="24"/>
        </w:rPr>
        <w:t xml:space="preserve"> and the mutant colony will be susceptible to </w:t>
      </w:r>
      <w:r w:rsidR="008952D5" w:rsidRPr="00B86B18">
        <w:rPr>
          <w:rFonts w:ascii="Times New Roman" w:hAnsi="Times New Roman" w:cs="Times New Roman"/>
          <w:sz w:val="24"/>
        </w:rPr>
        <w:t>TCS</w:t>
      </w:r>
      <w:r w:rsidR="00886425" w:rsidRPr="00B86B18">
        <w:rPr>
          <w:rFonts w:ascii="Times New Roman" w:hAnsi="Times New Roman" w:cs="Times New Roman"/>
          <w:sz w:val="24"/>
        </w:rPr>
        <w:t xml:space="preserve">. </w:t>
      </w:r>
      <w:r w:rsidR="00B729B4" w:rsidRPr="00B86B18">
        <w:rPr>
          <w:rFonts w:ascii="Times New Roman" w:hAnsi="Times New Roman" w:cs="Times New Roman"/>
          <w:sz w:val="24"/>
        </w:rPr>
        <w:t xml:space="preserve"> Colonies that are successfully transformed in this way will then be sequenced to see which genes are necessary for antibiotic resistance in different strains of </w:t>
      </w:r>
      <w:r w:rsidR="00B729B4" w:rsidRPr="00B86B18">
        <w:rPr>
          <w:rFonts w:ascii="Times New Roman" w:hAnsi="Times New Roman" w:cs="Times New Roman"/>
          <w:i/>
          <w:sz w:val="24"/>
        </w:rPr>
        <w:t>Pseudomonas</w:t>
      </w:r>
      <w:r w:rsidR="00B729B4" w:rsidRPr="00B86B18">
        <w:rPr>
          <w:rFonts w:ascii="Times New Roman" w:hAnsi="Times New Roman" w:cs="Times New Roman"/>
          <w:sz w:val="24"/>
        </w:rPr>
        <w:t>.</w:t>
      </w:r>
      <w:r w:rsidR="00EF24A1" w:rsidRPr="00B86B18">
        <w:rPr>
          <w:rFonts w:ascii="Times New Roman" w:hAnsi="Times New Roman" w:cs="Times New Roman"/>
          <w:sz w:val="24"/>
        </w:rPr>
        <w:t xml:space="preserve"> </w:t>
      </w:r>
    </w:p>
    <w:p w14:paraId="27BFBF2F" w14:textId="2722D904" w:rsidR="006A484E" w:rsidRPr="00B86B18" w:rsidRDefault="00876BD8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Past research has </w:t>
      </w:r>
      <w:r w:rsidR="00C12323" w:rsidRPr="00B86B18">
        <w:rPr>
          <w:rFonts w:ascii="Times New Roman" w:hAnsi="Times New Roman" w:cs="Times New Roman"/>
          <w:sz w:val="24"/>
        </w:rPr>
        <w:t>revealed</w:t>
      </w:r>
      <w:r w:rsidR="00FD3F72" w:rsidRPr="00B86B18">
        <w:rPr>
          <w:rFonts w:ascii="Times New Roman" w:hAnsi="Times New Roman" w:cs="Times New Roman"/>
          <w:sz w:val="24"/>
        </w:rPr>
        <w:t xml:space="preserve"> that </w:t>
      </w:r>
      <w:r w:rsidR="00D80796" w:rsidRPr="00B86B18">
        <w:rPr>
          <w:rFonts w:ascii="Times New Roman" w:hAnsi="Times New Roman" w:cs="Times New Roman"/>
          <w:sz w:val="24"/>
        </w:rPr>
        <w:t>mutations in the</w:t>
      </w:r>
      <w:r w:rsidR="00FD3F72" w:rsidRPr="00B86B18">
        <w:rPr>
          <w:rFonts w:ascii="Times New Roman" w:hAnsi="Times New Roman" w:cs="Times New Roman"/>
          <w:sz w:val="24"/>
        </w:rPr>
        <w:t xml:space="preserve"> efflux pump, encoded by the </w:t>
      </w:r>
      <w:r w:rsidR="00FD3F72" w:rsidRPr="00B86B18">
        <w:rPr>
          <w:rFonts w:ascii="Times New Roman" w:hAnsi="Times New Roman" w:cs="Times New Roman"/>
          <w:i/>
          <w:sz w:val="24"/>
        </w:rPr>
        <w:t xml:space="preserve">mexA, mexB, </w:t>
      </w:r>
      <w:r w:rsidR="00FD3F72" w:rsidRPr="00B86B18">
        <w:rPr>
          <w:rFonts w:ascii="Times New Roman" w:hAnsi="Times New Roman" w:cs="Times New Roman"/>
          <w:sz w:val="24"/>
        </w:rPr>
        <w:t>and</w:t>
      </w:r>
      <w:r w:rsidR="00FD3F72" w:rsidRPr="00B86B18">
        <w:rPr>
          <w:rFonts w:ascii="Times New Roman" w:hAnsi="Times New Roman" w:cs="Times New Roman"/>
          <w:i/>
          <w:sz w:val="24"/>
        </w:rPr>
        <w:t xml:space="preserve"> oprM</w:t>
      </w:r>
      <w:r w:rsidR="00D80796" w:rsidRPr="00B86B18">
        <w:rPr>
          <w:rFonts w:ascii="Times New Roman" w:hAnsi="Times New Roman" w:cs="Times New Roman"/>
          <w:i/>
          <w:sz w:val="24"/>
        </w:rPr>
        <w:t xml:space="preserve"> </w:t>
      </w:r>
      <w:r w:rsidR="00CF2F43" w:rsidRPr="00B86B18">
        <w:rPr>
          <w:rFonts w:ascii="Times New Roman" w:hAnsi="Times New Roman" w:cs="Times New Roman"/>
          <w:sz w:val="24"/>
        </w:rPr>
        <w:t>genes</w:t>
      </w:r>
      <w:r w:rsidR="00D80796" w:rsidRPr="00B86B18">
        <w:rPr>
          <w:rFonts w:ascii="Times New Roman" w:hAnsi="Times New Roman" w:cs="Times New Roman"/>
          <w:sz w:val="24"/>
        </w:rPr>
        <w:t xml:space="preserve">, are correlated with reduced resistance to certain biocides in </w:t>
      </w:r>
      <w:r w:rsidR="00CF2F43" w:rsidRPr="00B86B18">
        <w:rPr>
          <w:rFonts w:ascii="Times New Roman" w:hAnsi="Times New Roman" w:cs="Times New Roman"/>
          <w:i/>
          <w:sz w:val="24"/>
        </w:rPr>
        <w:t xml:space="preserve">P. </w:t>
      </w:r>
      <w:r w:rsidR="00D80796" w:rsidRPr="00B86B18">
        <w:rPr>
          <w:rFonts w:ascii="Times New Roman" w:hAnsi="Times New Roman" w:cs="Times New Roman"/>
          <w:i/>
          <w:sz w:val="24"/>
        </w:rPr>
        <w:t xml:space="preserve">azelaica </w:t>
      </w:r>
      <w:r w:rsidR="00893A17" w:rsidRPr="00B86B18">
        <w:rPr>
          <w:rFonts w:ascii="Times New Roman" w:hAnsi="Times New Roman" w:cs="Times New Roman"/>
          <w:sz w:val="24"/>
        </w:rPr>
        <w:t>HBP1</w:t>
      </w:r>
      <w:r w:rsidR="002326BA" w:rsidRPr="00B86B18">
        <w:rPr>
          <w:rFonts w:ascii="Times New Roman" w:hAnsi="Times New Roman" w:cs="Times New Roman"/>
          <w:sz w:val="24"/>
        </w:rPr>
        <w:t xml:space="preserve"> (1)</w:t>
      </w:r>
      <w:r w:rsidR="004F6BEA" w:rsidRPr="00B86B18">
        <w:rPr>
          <w:rFonts w:ascii="Times New Roman" w:hAnsi="Times New Roman" w:cs="Times New Roman"/>
          <w:sz w:val="24"/>
        </w:rPr>
        <w:t xml:space="preserve">. Therefore, </w:t>
      </w:r>
      <w:r w:rsidR="00D55AB0" w:rsidRPr="00B86B18">
        <w:rPr>
          <w:rFonts w:ascii="Times New Roman" w:hAnsi="Times New Roman" w:cs="Times New Roman"/>
          <w:sz w:val="24"/>
        </w:rPr>
        <w:t xml:space="preserve">I will look at </w:t>
      </w:r>
      <w:r w:rsidR="00E75B48" w:rsidRPr="00B86B18">
        <w:rPr>
          <w:rFonts w:ascii="Times New Roman" w:hAnsi="Times New Roman" w:cs="Times New Roman"/>
          <w:i/>
          <w:sz w:val="24"/>
        </w:rPr>
        <w:t xml:space="preserve">Pseudomonas </w:t>
      </w:r>
      <w:r w:rsidR="004F6BEA" w:rsidRPr="00B86B18">
        <w:rPr>
          <w:rFonts w:ascii="Times New Roman" w:hAnsi="Times New Roman" w:cs="Times New Roman"/>
          <w:sz w:val="24"/>
        </w:rPr>
        <w:t>mutants that no longer exhibit TCS resistance</w:t>
      </w:r>
      <w:r w:rsidR="00836E60" w:rsidRPr="00B86B18">
        <w:rPr>
          <w:rFonts w:ascii="Times New Roman" w:hAnsi="Times New Roman" w:cs="Times New Roman"/>
          <w:sz w:val="24"/>
        </w:rPr>
        <w:t xml:space="preserve"> </w:t>
      </w:r>
      <w:r w:rsidRPr="00B86B18">
        <w:rPr>
          <w:rFonts w:ascii="Times New Roman" w:hAnsi="Times New Roman" w:cs="Times New Roman"/>
          <w:sz w:val="24"/>
        </w:rPr>
        <w:t xml:space="preserve">to further characterize the </w:t>
      </w:r>
      <w:r w:rsidR="00417D24" w:rsidRPr="00B86B18">
        <w:rPr>
          <w:rFonts w:ascii="Times New Roman" w:hAnsi="Times New Roman" w:cs="Times New Roman"/>
          <w:sz w:val="24"/>
        </w:rPr>
        <w:t xml:space="preserve">mutations and determine if </w:t>
      </w:r>
      <w:r w:rsidRPr="00B86B18">
        <w:rPr>
          <w:rFonts w:ascii="Times New Roman" w:hAnsi="Times New Roman" w:cs="Times New Roman"/>
          <w:sz w:val="24"/>
        </w:rPr>
        <w:t xml:space="preserve">this efflux pump </w:t>
      </w:r>
      <w:r w:rsidR="003327A6" w:rsidRPr="00B86B18">
        <w:rPr>
          <w:rFonts w:ascii="Times New Roman" w:hAnsi="Times New Roman" w:cs="Times New Roman"/>
          <w:sz w:val="24"/>
        </w:rPr>
        <w:t xml:space="preserve">regulates </w:t>
      </w:r>
      <w:r w:rsidRPr="00B86B18">
        <w:rPr>
          <w:rFonts w:ascii="Times New Roman" w:hAnsi="Times New Roman" w:cs="Times New Roman"/>
          <w:sz w:val="24"/>
        </w:rPr>
        <w:t>antibiotic susceptibility</w:t>
      </w:r>
      <w:r w:rsidR="004F6BEA" w:rsidRPr="00B86B18">
        <w:rPr>
          <w:rFonts w:ascii="Times New Roman" w:hAnsi="Times New Roman" w:cs="Times New Roman"/>
          <w:sz w:val="24"/>
        </w:rPr>
        <w:t>.</w:t>
      </w:r>
      <w:r w:rsidR="00C67A57" w:rsidRPr="00B86B18">
        <w:rPr>
          <w:rFonts w:ascii="Times New Roman" w:hAnsi="Times New Roman" w:cs="Times New Roman"/>
          <w:sz w:val="24"/>
        </w:rPr>
        <w:t xml:space="preserve"> </w:t>
      </w:r>
      <w:r w:rsidR="0085028B" w:rsidRPr="00B86B18">
        <w:rPr>
          <w:rFonts w:ascii="Times New Roman" w:hAnsi="Times New Roman" w:cs="Times New Roman"/>
          <w:sz w:val="24"/>
        </w:rPr>
        <w:t xml:space="preserve">I will also </w:t>
      </w:r>
      <w:r w:rsidR="007903DC" w:rsidRPr="00B86B18">
        <w:rPr>
          <w:rFonts w:ascii="Times New Roman" w:hAnsi="Times New Roman" w:cs="Times New Roman"/>
          <w:sz w:val="24"/>
        </w:rPr>
        <w:t>compare</w:t>
      </w:r>
      <w:r w:rsidR="0085028B" w:rsidRPr="00B86B18">
        <w:rPr>
          <w:rFonts w:ascii="Times New Roman" w:hAnsi="Times New Roman" w:cs="Times New Roman"/>
          <w:sz w:val="24"/>
        </w:rPr>
        <w:t xml:space="preserve"> </w:t>
      </w:r>
      <w:r w:rsidR="006631C4" w:rsidRPr="00B86B18">
        <w:rPr>
          <w:rFonts w:ascii="Times New Roman" w:hAnsi="Times New Roman" w:cs="Times New Roman"/>
          <w:sz w:val="24"/>
        </w:rPr>
        <w:t xml:space="preserve">sequences of </w:t>
      </w:r>
      <w:r w:rsidR="005644BF" w:rsidRPr="00B86B18">
        <w:rPr>
          <w:rFonts w:ascii="Times New Roman" w:hAnsi="Times New Roman" w:cs="Times New Roman"/>
          <w:sz w:val="24"/>
        </w:rPr>
        <w:t xml:space="preserve">this operon </w:t>
      </w:r>
      <w:r w:rsidR="006021E7" w:rsidRPr="00B86B18">
        <w:rPr>
          <w:rFonts w:ascii="Times New Roman" w:hAnsi="Times New Roman" w:cs="Times New Roman"/>
          <w:sz w:val="24"/>
        </w:rPr>
        <w:t xml:space="preserve">across different strains to determine if </w:t>
      </w:r>
      <w:r w:rsidR="00576C55" w:rsidRPr="00B86B18">
        <w:rPr>
          <w:rFonts w:ascii="Times New Roman" w:hAnsi="Times New Roman" w:cs="Times New Roman"/>
          <w:sz w:val="24"/>
        </w:rPr>
        <w:t xml:space="preserve">differences in the efflux pump </w:t>
      </w:r>
      <w:r w:rsidR="0049158D" w:rsidRPr="00B86B18">
        <w:rPr>
          <w:rFonts w:ascii="Times New Roman" w:hAnsi="Times New Roman" w:cs="Times New Roman"/>
          <w:sz w:val="24"/>
        </w:rPr>
        <w:t xml:space="preserve">genes </w:t>
      </w:r>
      <w:r w:rsidR="007903DC" w:rsidRPr="00B86B18">
        <w:rPr>
          <w:rFonts w:ascii="Times New Roman" w:hAnsi="Times New Roman" w:cs="Times New Roman"/>
          <w:sz w:val="24"/>
        </w:rPr>
        <w:t xml:space="preserve">correlate to </w:t>
      </w:r>
      <w:r w:rsidR="00576C55" w:rsidRPr="00B86B18">
        <w:rPr>
          <w:rFonts w:ascii="Times New Roman" w:hAnsi="Times New Roman" w:cs="Times New Roman"/>
          <w:sz w:val="24"/>
        </w:rPr>
        <w:t>different levels of resistance</w:t>
      </w:r>
      <w:r w:rsidR="00093293" w:rsidRPr="00B86B18">
        <w:rPr>
          <w:rFonts w:ascii="Times New Roman" w:hAnsi="Times New Roman" w:cs="Times New Roman"/>
          <w:sz w:val="24"/>
        </w:rPr>
        <w:t xml:space="preserve"> </w:t>
      </w:r>
      <w:r w:rsidR="007903DC" w:rsidRPr="00B86B18">
        <w:rPr>
          <w:rFonts w:ascii="Times New Roman" w:hAnsi="Times New Roman" w:cs="Times New Roman"/>
          <w:sz w:val="24"/>
        </w:rPr>
        <w:t>as determined by</w:t>
      </w:r>
      <w:r w:rsidR="00093293" w:rsidRPr="00B86B18">
        <w:rPr>
          <w:rFonts w:ascii="Times New Roman" w:hAnsi="Times New Roman" w:cs="Times New Roman"/>
          <w:sz w:val="24"/>
        </w:rPr>
        <w:t xml:space="preserve"> the minimum inhibitory concentration (MIC)</w:t>
      </w:r>
      <w:r w:rsidR="00CF2F43" w:rsidRPr="00B86B18">
        <w:rPr>
          <w:rFonts w:ascii="Times New Roman" w:hAnsi="Times New Roman" w:cs="Times New Roman"/>
          <w:sz w:val="24"/>
        </w:rPr>
        <w:t xml:space="preserve"> of TCS</w:t>
      </w:r>
      <w:r w:rsidR="00C67A57" w:rsidRPr="00B86B18">
        <w:rPr>
          <w:rFonts w:ascii="Times New Roman" w:hAnsi="Times New Roman" w:cs="Times New Roman"/>
          <w:sz w:val="24"/>
        </w:rPr>
        <w:t xml:space="preserve">. </w:t>
      </w:r>
      <w:r w:rsidR="00E95706" w:rsidRPr="00B86B18">
        <w:rPr>
          <w:rFonts w:ascii="Times New Roman" w:hAnsi="Times New Roman" w:cs="Times New Roman"/>
          <w:sz w:val="24"/>
        </w:rPr>
        <w:t xml:space="preserve">I will </w:t>
      </w:r>
      <w:r w:rsidR="007903DC" w:rsidRPr="00B86B18">
        <w:rPr>
          <w:rFonts w:ascii="Times New Roman" w:hAnsi="Times New Roman" w:cs="Times New Roman"/>
          <w:sz w:val="24"/>
        </w:rPr>
        <w:t xml:space="preserve">align the sequences of these homologous genes and evaluate their percent similarities </w:t>
      </w:r>
      <w:r w:rsidR="00E95706" w:rsidRPr="00B86B18">
        <w:rPr>
          <w:rFonts w:ascii="Times New Roman" w:hAnsi="Times New Roman" w:cs="Times New Roman"/>
          <w:sz w:val="24"/>
        </w:rPr>
        <w:t>us</w:t>
      </w:r>
      <w:r w:rsidR="007903DC" w:rsidRPr="00B86B18">
        <w:rPr>
          <w:rFonts w:ascii="Times New Roman" w:hAnsi="Times New Roman" w:cs="Times New Roman"/>
          <w:sz w:val="24"/>
        </w:rPr>
        <w:t>ing</w:t>
      </w:r>
      <w:r w:rsidR="00E95706" w:rsidRPr="00B86B18">
        <w:rPr>
          <w:rFonts w:ascii="Times New Roman" w:hAnsi="Times New Roman" w:cs="Times New Roman"/>
          <w:sz w:val="24"/>
        </w:rPr>
        <w:t xml:space="preserve"> the EMBOSS</w:t>
      </w:r>
      <w:r w:rsidR="00083EF9" w:rsidRPr="00B86B18">
        <w:rPr>
          <w:rFonts w:ascii="Times New Roman" w:hAnsi="Times New Roman" w:cs="Times New Roman"/>
          <w:sz w:val="24"/>
        </w:rPr>
        <w:t xml:space="preserve"> </w:t>
      </w:r>
      <w:r w:rsidR="007903DC" w:rsidRPr="00B86B18">
        <w:rPr>
          <w:rFonts w:ascii="Times New Roman" w:hAnsi="Times New Roman" w:cs="Times New Roman"/>
          <w:sz w:val="24"/>
        </w:rPr>
        <w:t>package</w:t>
      </w:r>
      <w:r w:rsidR="00A93D10" w:rsidRPr="00B86B18">
        <w:rPr>
          <w:rFonts w:ascii="Times New Roman" w:hAnsi="Times New Roman" w:cs="Times New Roman"/>
          <w:sz w:val="24"/>
        </w:rPr>
        <w:t xml:space="preserve"> (6)</w:t>
      </w:r>
      <w:r w:rsidR="00E95706" w:rsidRPr="00B86B18">
        <w:rPr>
          <w:rFonts w:ascii="Times New Roman" w:hAnsi="Times New Roman" w:cs="Times New Roman"/>
          <w:sz w:val="24"/>
        </w:rPr>
        <w:t>.</w:t>
      </w:r>
      <w:r w:rsidR="00EA5CB1" w:rsidRPr="00B86B18">
        <w:rPr>
          <w:rFonts w:ascii="Times New Roman" w:hAnsi="Times New Roman" w:cs="Times New Roman"/>
          <w:sz w:val="24"/>
        </w:rPr>
        <w:t xml:space="preserve"> </w:t>
      </w:r>
      <w:r w:rsidR="007903DC" w:rsidRPr="00B86B18">
        <w:rPr>
          <w:rFonts w:ascii="Times New Roman" w:hAnsi="Times New Roman" w:cs="Times New Roman"/>
          <w:sz w:val="24"/>
        </w:rPr>
        <w:t xml:space="preserve">I will then determine if sequence similarity </w:t>
      </w:r>
      <w:r w:rsidR="003A3B6F" w:rsidRPr="00B86B18">
        <w:rPr>
          <w:rFonts w:ascii="Times New Roman" w:hAnsi="Times New Roman" w:cs="Times New Roman"/>
          <w:sz w:val="24"/>
        </w:rPr>
        <w:t>correlates with</w:t>
      </w:r>
      <w:r w:rsidR="007903DC" w:rsidRPr="00B86B18">
        <w:rPr>
          <w:rFonts w:ascii="Times New Roman" w:hAnsi="Times New Roman" w:cs="Times New Roman"/>
          <w:sz w:val="24"/>
        </w:rPr>
        <w:t xml:space="preserve"> </w:t>
      </w:r>
      <w:r w:rsidR="003A3B6F" w:rsidRPr="00B86B18">
        <w:rPr>
          <w:rFonts w:ascii="Times New Roman" w:hAnsi="Times New Roman" w:cs="Times New Roman"/>
          <w:sz w:val="24"/>
        </w:rPr>
        <w:t>the MIC</w:t>
      </w:r>
      <w:r w:rsidR="007903DC" w:rsidRPr="00B86B18">
        <w:rPr>
          <w:rFonts w:ascii="Times New Roman" w:hAnsi="Times New Roman" w:cs="Times New Roman"/>
          <w:sz w:val="24"/>
        </w:rPr>
        <w:t xml:space="preserve"> using linear </w:t>
      </w:r>
      <w:r w:rsidR="00423A5F" w:rsidRPr="00B86B18">
        <w:rPr>
          <w:rFonts w:ascii="Times New Roman" w:hAnsi="Times New Roman" w:cs="Times New Roman"/>
          <w:sz w:val="24"/>
        </w:rPr>
        <w:t>regression</w:t>
      </w:r>
      <w:r w:rsidR="00423A5F" w:rsidRPr="00B86B18">
        <w:rPr>
          <w:rStyle w:val="CommentReference"/>
          <w:rFonts w:ascii="Times New Roman" w:hAnsi="Times New Roman" w:cs="Times New Roman"/>
          <w:sz w:val="24"/>
          <w:szCs w:val="22"/>
        </w:rPr>
        <w:t>.</w:t>
      </w:r>
      <w:r w:rsidR="00423A5F" w:rsidRPr="00B86B18">
        <w:rPr>
          <w:rFonts w:ascii="Times New Roman" w:hAnsi="Times New Roman" w:cs="Times New Roman"/>
          <w:sz w:val="24"/>
        </w:rPr>
        <w:t xml:space="preserve"> I</w:t>
      </w:r>
      <w:r w:rsidR="00B33086" w:rsidRPr="00B86B18">
        <w:rPr>
          <w:rFonts w:ascii="Times New Roman" w:hAnsi="Times New Roman" w:cs="Times New Roman"/>
          <w:sz w:val="24"/>
        </w:rPr>
        <w:t xml:space="preserve"> also plan to </w:t>
      </w:r>
      <w:r w:rsidR="00150B84" w:rsidRPr="00B86B18">
        <w:rPr>
          <w:rFonts w:ascii="Times New Roman" w:hAnsi="Times New Roman" w:cs="Times New Roman"/>
          <w:sz w:val="24"/>
        </w:rPr>
        <w:t xml:space="preserve">use principle component analysis to see how </w:t>
      </w:r>
      <w:r w:rsidR="00397C35" w:rsidRPr="00B86B18">
        <w:rPr>
          <w:rFonts w:ascii="Times New Roman" w:hAnsi="Times New Roman" w:cs="Times New Roman"/>
          <w:sz w:val="24"/>
        </w:rPr>
        <w:t>similarities in the sequences of the pumps correlate with different MICs</w:t>
      </w:r>
      <w:r w:rsidR="005B126A" w:rsidRPr="00B86B18">
        <w:rPr>
          <w:rFonts w:ascii="Times New Roman" w:hAnsi="Times New Roman" w:cs="Times New Roman"/>
          <w:sz w:val="24"/>
        </w:rPr>
        <w:t xml:space="preserve"> between mutant and wildtype colonies</w:t>
      </w:r>
      <w:r w:rsidR="00397C35" w:rsidRPr="00B86B18">
        <w:rPr>
          <w:rFonts w:ascii="Times New Roman" w:hAnsi="Times New Roman" w:cs="Times New Roman"/>
          <w:sz w:val="24"/>
        </w:rPr>
        <w:t xml:space="preserve">. </w:t>
      </w:r>
      <w:r w:rsidR="00155D46" w:rsidRPr="00B86B18">
        <w:rPr>
          <w:rFonts w:ascii="Times New Roman" w:hAnsi="Times New Roman" w:cs="Times New Roman"/>
          <w:sz w:val="24"/>
        </w:rPr>
        <w:t xml:space="preserve">Finally, I will use the sequencing data to evaluate how changes in key amino acid residues </w:t>
      </w:r>
      <w:r w:rsidR="007C6C57" w:rsidRPr="00B86B18">
        <w:rPr>
          <w:rFonts w:ascii="Times New Roman" w:hAnsi="Times New Roman" w:cs="Times New Roman"/>
          <w:sz w:val="24"/>
        </w:rPr>
        <w:t xml:space="preserve">within the pump sequence affect the MIC by designating </w:t>
      </w:r>
      <w:r w:rsidR="00790EBF" w:rsidRPr="00B86B18">
        <w:rPr>
          <w:rFonts w:ascii="Times New Roman" w:hAnsi="Times New Roman" w:cs="Times New Roman"/>
          <w:sz w:val="24"/>
        </w:rPr>
        <w:t>residues as specific variables and performing a T-test</w:t>
      </w:r>
      <w:r w:rsidR="00A7604E" w:rsidRPr="00B86B18">
        <w:rPr>
          <w:rFonts w:ascii="Times New Roman" w:hAnsi="Times New Roman" w:cs="Times New Roman"/>
          <w:sz w:val="24"/>
        </w:rPr>
        <w:t xml:space="preserve"> to check for </w:t>
      </w:r>
      <w:r w:rsidR="00CF1893" w:rsidRPr="00B86B18">
        <w:rPr>
          <w:rFonts w:ascii="Times New Roman" w:hAnsi="Times New Roman" w:cs="Times New Roman"/>
          <w:sz w:val="24"/>
        </w:rPr>
        <w:t xml:space="preserve">statistically significant data points. </w:t>
      </w:r>
    </w:p>
    <w:p w14:paraId="200AC63D" w14:textId="1BD6205E" w:rsidR="00376322" w:rsidRPr="00B86B18" w:rsidRDefault="006A484E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I will create 4,000 mutants of </w:t>
      </w:r>
      <w:r w:rsidR="00DA06FC" w:rsidRPr="00B86B18">
        <w:rPr>
          <w:rFonts w:ascii="Times New Roman" w:hAnsi="Times New Roman" w:cs="Times New Roman"/>
          <w:sz w:val="24"/>
        </w:rPr>
        <w:t xml:space="preserve">an isolate of </w:t>
      </w:r>
      <w:r w:rsidR="0059660C" w:rsidRPr="00B86B18">
        <w:rPr>
          <w:rFonts w:ascii="Times New Roman" w:hAnsi="Times New Roman" w:cs="Times New Roman"/>
          <w:i/>
          <w:sz w:val="24"/>
        </w:rPr>
        <w:t>P.</w:t>
      </w:r>
      <w:r w:rsidR="00DA06FC" w:rsidRPr="00B86B18">
        <w:rPr>
          <w:rFonts w:ascii="Times New Roman" w:hAnsi="Times New Roman" w:cs="Times New Roman"/>
          <w:i/>
          <w:sz w:val="24"/>
        </w:rPr>
        <w:t xml:space="preserve"> </w:t>
      </w:r>
      <w:r w:rsidR="001942C2" w:rsidRPr="00B86B18">
        <w:rPr>
          <w:rFonts w:ascii="Times New Roman" w:hAnsi="Times New Roman" w:cs="Times New Roman"/>
          <w:i/>
          <w:sz w:val="24"/>
        </w:rPr>
        <w:t>fulva</w:t>
      </w:r>
      <w:r w:rsidR="00DA06FC" w:rsidRPr="00B86B18">
        <w:rPr>
          <w:rFonts w:ascii="Times New Roman" w:hAnsi="Times New Roman" w:cs="Times New Roman"/>
          <w:i/>
          <w:sz w:val="24"/>
        </w:rPr>
        <w:t xml:space="preserve"> </w:t>
      </w:r>
      <w:r w:rsidRPr="00B86B18">
        <w:rPr>
          <w:rFonts w:ascii="Times New Roman" w:hAnsi="Times New Roman" w:cs="Times New Roman"/>
          <w:sz w:val="24"/>
        </w:rPr>
        <w:t xml:space="preserve">and 4,000 mutants of </w:t>
      </w:r>
      <w:r w:rsidR="001F6286" w:rsidRPr="00B86B18">
        <w:rPr>
          <w:rFonts w:ascii="Times New Roman" w:hAnsi="Times New Roman" w:cs="Times New Roman"/>
          <w:sz w:val="24"/>
        </w:rPr>
        <w:t xml:space="preserve">an </w:t>
      </w:r>
      <w:r w:rsidR="006E0DFF" w:rsidRPr="00B86B18">
        <w:rPr>
          <w:rFonts w:ascii="Times New Roman" w:hAnsi="Times New Roman" w:cs="Times New Roman"/>
          <w:sz w:val="24"/>
        </w:rPr>
        <w:t xml:space="preserve">isolate of </w:t>
      </w:r>
      <w:r w:rsidR="0059660C" w:rsidRPr="00B86B18">
        <w:rPr>
          <w:rFonts w:ascii="Times New Roman" w:hAnsi="Times New Roman" w:cs="Times New Roman"/>
          <w:i/>
          <w:sz w:val="24"/>
        </w:rPr>
        <w:t>P.</w:t>
      </w:r>
      <w:r w:rsidR="006E0DFF" w:rsidRPr="00B86B18">
        <w:rPr>
          <w:rFonts w:ascii="Times New Roman" w:hAnsi="Times New Roman" w:cs="Times New Roman"/>
          <w:i/>
          <w:sz w:val="24"/>
        </w:rPr>
        <w:t xml:space="preserve"> </w:t>
      </w:r>
      <w:bookmarkStart w:id="1" w:name="_Hlk369982"/>
      <w:r w:rsidR="006E0DFF" w:rsidRPr="00B86B18">
        <w:rPr>
          <w:rFonts w:ascii="Times New Roman" w:hAnsi="Times New Roman" w:cs="Times New Roman"/>
          <w:i/>
          <w:sz w:val="24"/>
        </w:rPr>
        <w:t>stutzeri</w:t>
      </w:r>
      <w:bookmarkEnd w:id="1"/>
      <w:r w:rsidR="00460963" w:rsidRPr="00B86B18">
        <w:rPr>
          <w:rFonts w:ascii="Times New Roman" w:hAnsi="Times New Roman" w:cs="Times New Roman"/>
          <w:sz w:val="24"/>
        </w:rPr>
        <w:t xml:space="preserve"> because the </w:t>
      </w:r>
      <w:r w:rsidR="00460963" w:rsidRPr="00B86B18">
        <w:rPr>
          <w:rFonts w:ascii="Times New Roman" w:hAnsi="Times New Roman" w:cs="Times New Roman"/>
          <w:i/>
          <w:sz w:val="24"/>
        </w:rPr>
        <w:t>Pseudomonas</w:t>
      </w:r>
      <w:r w:rsidR="00460963" w:rsidRPr="00B86B18">
        <w:rPr>
          <w:rFonts w:ascii="Times New Roman" w:hAnsi="Times New Roman" w:cs="Times New Roman"/>
          <w:sz w:val="24"/>
        </w:rPr>
        <w:t xml:space="preserve"> genome contains </w:t>
      </w:r>
      <w:r w:rsidR="003A3B6F" w:rsidRPr="00B86B18">
        <w:rPr>
          <w:rFonts w:ascii="Times New Roman" w:hAnsi="Times New Roman" w:cs="Times New Roman"/>
          <w:sz w:val="24"/>
        </w:rPr>
        <w:t xml:space="preserve">approximately </w:t>
      </w:r>
      <w:r w:rsidR="00460963" w:rsidRPr="00B86B18">
        <w:rPr>
          <w:rFonts w:ascii="Times New Roman" w:hAnsi="Times New Roman" w:cs="Times New Roman"/>
          <w:sz w:val="24"/>
        </w:rPr>
        <w:t>4,00</w:t>
      </w:r>
      <w:r w:rsidR="006D2349" w:rsidRPr="00B86B18">
        <w:rPr>
          <w:rFonts w:ascii="Times New Roman" w:hAnsi="Times New Roman" w:cs="Times New Roman"/>
          <w:sz w:val="24"/>
        </w:rPr>
        <w:t xml:space="preserve">0 genes. Therefore, by </w:t>
      </w:r>
      <w:r w:rsidR="006D2349" w:rsidRPr="00B86B18">
        <w:rPr>
          <w:rFonts w:ascii="Times New Roman" w:hAnsi="Times New Roman" w:cs="Times New Roman"/>
          <w:sz w:val="24"/>
        </w:rPr>
        <w:lastRenderedPageBreak/>
        <w:t xml:space="preserve">creating 4,000 mutants I </w:t>
      </w:r>
      <w:r w:rsidR="003A3B6F" w:rsidRPr="00B86B18">
        <w:rPr>
          <w:rFonts w:ascii="Times New Roman" w:hAnsi="Times New Roman" w:cs="Times New Roman"/>
          <w:sz w:val="24"/>
        </w:rPr>
        <w:t xml:space="preserve">will likely have interrupted all non-essential genes at least once, giving me ample opportunity to identify genes involved in </w:t>
      </w:r>
      <w:r w:rsidR="008367C0" w:rsidRPr="00B86B18">
        <w:rPr>
          <w:rFonts w:ascii="Times New Roman" w:hAnsi="Times New Roman" w:cs="Times New Roman"/>
          <w:sz w:val="24"/>
        </w:rPr>
        <w:t>susceptibility to TCS.</w:t>
      </w:r>
      <w:r w:rsidRPr="00B86B18">
        <w:rPr>
          <w:rFonts w:ascii="Times New Roman" w:hAnsi="Times New Roman" w:cs="Times New Roman"/>
          <w:sz w:val="24"/>
        </w:rPr>
        <w:t xml:space="preserve"> </w:t>
      </w:r>
      <w:r w:rsidR="00417D24" w:rsidRPr="00B86B18">
        <w:rPr>
          <w:rFonts w:ascii="Times New Roman" w:hAnsi="Times New Roman" w:cs="Times New Roman"/>
          <w:sz w:val="24"/>
        </w:rPr>
        <w:t>To create the mutants, I first culture the wild type</w:t>
      </w:r>
      <w:r w:rsidR="00613EC8" w:rsidRPr="00B86B18">
        <w:rPr>
          <w:rFonts w:ascii="Times New Roman" w:hAnsi="Times New Roman" w:cs="Times New Roman"/>
          <w:sz w:val="24"/>
        </w:rPr>
        <w:t xml:space="preserve"> overnight in tryptic soy broth</w:t>
      </w:r>
      <w:r w:rsidR="001F6286" w:rsidRPr="00B86B18">
        <w:rPr>
          <w:rFonts w:ascii="Times New Roman" w:hAnsi="Times New Roman" w:cs="Times New Roman"/>
          <w:sz w:val="24"/>
        </w:rPr>
        <w:t xml:space="preserve"> (TSB)</w:t>
      </w:r>
      <w:r w:rsidR="006E6B6A" w:rsidRPr="00B86B18">
        <w:rPr>
          <w:rFonts w:ascii="Times New Roman" w:hAnsi="Times New Roman" w:cs="Times New Roman"/>
          <w:sz w:val="24"/>
        </w:rPr>
        <w:t xml:space="preserve">, </w:t>
      </w:r>
      <w:r w:rsidR="00417D24" w:rsidRPr="00B86B18">
        <w:rPr>
          <w:rFonts w:ascii="Times New Roman" w:hAnsi="Times New Roman" w:cs="Times New Roman"/>
          <w:sz w:val="24"/>
        </w:rPr>
        <w:t>and then conjugate</w:t>
      </w:r>
      <w:r w:rsidR="006E6B6A" w:rsidRPr="00B86B18">
        <w:rPr>
          <w:rFonts w:ascii="Times New Roman" w:hAnsi="Times New Roman" w:cs="Times New Roman"/>
          <w:sz w:val="24"/>
        </w:rPr>
        <w:t xml:space="preserve"> with an isolate of </w:t>
      </w:r>
      <w:r w:rsidR="006E6B6A" w:rsidRPr="00B86B18">
        <w:rPr>
          <w:rFonts w:ascii="Times New Roman" w:hAnsi="Times New Roman" w:cs="Times New Roman"/>
          <w:i/>
          <w:sz w:val="24"/>
        </w:rPr>
        <w:t>E. coli</w:t>
      </w:r>
      <w:r w:rsidR="006E6B6A" w:rsidRPr="00B86B18">
        <w:rPr>
          <w:rFonts w:ascii="Times New Roman" w:hAnsi="Times New Roman" w:cs="Times New Roman"/>
          <w:sz w:val="24"/>
        </w:rPr>
        <w:t xml:space="preserve"> </w:t>
      </w:r>
      <w:r w:rsidR="00770097" w:rsidRPr="00B86B18">
        <w:rPr>
          <w:rFonts w:ascii="Times New Roman" w:hAnsi="Times New Roman" w:cs="Times New Roman"/>
          <w:sz w:val="24"/>
        </w:rPr>
        <w:t>which contain</w:t>
      </w:r>
      <w:r w:rsidR="0035327C" w:rsidRPr="00B86B18">
        <w:rPr>
          <w:rFonts w:ascii="Times New Roman" w:hAnsi="Times New Roman" w:cs="Times New Roman"/>
          <w:sz w:val="24"/>
        </w:rPr>
        <w:t>s the SM10 plasmid</w:t>
      </w:r>
      <w:r w:rsidR="00770097" w:rsidRPr="00B86B18">
        <w:rPr>
          <w:rFonts w:ascii="Times New Roman" w:hAnsi="Times New Roman" w:cs="Times New Roman"/>
          <w:sz w:val="24"/>
        </w:rPr>
        <w:t xml:space="preserve">. </w:t>
      </w:r>
      <w:r w:rsidR="00CF2F43" w:rsidRPr="00B86B18">
        <w:rPr>
          <w:rFonts w:ascii="Times New Roman" w:hAnsi="Times New Roman" w:cs="Times New Roman"/>
          <w:sz w:val="24"/>
        </w:rPr>
        <w:t>To</w:t>
      </w:r>
      <w:r w:rsidR="00770097" w:rsidRPr="00B86B18">
        <w:rPr>
          <w:rFonts w:ascii="Times New Roman" w:hAnsi="Times New Roman" w:cs="Times New Roman"/>
          <w:sz w:val="24"/>
        </w:rPr>
        <w:t xml:space="preserve"> select for </w:t>
      </w:r>
      <w:r w:rsidR="003A3B6F" w:rsidRPr="00B86B18">
        <w:rPr>
          <w:rFonts w:ascii="Times New Roman" w:hAnsi="Times New Roman" w:cs="Times New Roman"/>
          <w:i/>
          <w:sz w:val="24"/>
        </w:rPr>
        <w:t>Pseudomonas</w:t>
      </w:r>
      <w:r w:rsidR="003A3B6F" w:rsidRPr="00B86B18">
        <w:rPr>
          <w:rFonts w:ascii="Times New Roman" w:hAnsi="Times New Roman" w:cs="Times New Roman"/>
          <w:sz w:val="24"/>
        </w:rPr>
        <w:t xml:space="preserve"> </w:t>
      </w:r>
      <w:r w:rsidR="00D47093" w:rsidRPr="00B86B18">
        <w:rPr>
          <w:rFonts w:ascii="Times New Roman" w:hAnsi="Times New Roman" w:cs="Times New Roman"/>
          <w:sz w:val="24"/>
        </w:rPr>
        <w:t xml:space="preserve">colonies </w:t>
      </w:r>
      <w:r w:rsidR="00733B42" w:rsidRPr="00B86B18">
        <w:rPr>
          <w:rFonts w:ascii="Times New Roman" w:hAnsi="Times New Roman" w:cs="Times New Roman"/>
          <w:sz w:val="24"/>
        </w:rPr>
        <w:t xml:space="preserve">that have successfully undergone conjugation, I </w:t>
      </w:r>
      <w:r w:rsidR="00BD311F" w:rsidRPr="00B86B18">
        <w:rPr>
          <w:rFonts w:ascii="Times New Roman" w:hAnsi="Times New Roman" w:cs="Times New Roman"/>
          <w:sz w:val="24"/>
        </w:rPr>
        <w:t xml:space="preserve">then </w:t>
      </w:r>
      <w:r w:rsidR="001C1759" w:rsidRPr="00B86B18">
        <w:rPr>
          <w:rFonts w:ascii="Times New Roman" w:hAnsi="Times New Roman" w:cs="Times New Roman"/>
          <w:sz w:val="24"/>
        </w:rPr>
        <w:t xml:space="preserve">dilute the conjugated colonies in phosphate buffer solution (PBS) and grow for 48 hours on a </w:t>
      </w:r>
      <w:r w:rsidR="00417D24" w:rsidRPr="00B86B18">
        <w:rPr>
          <w:rFonts w:ascii="Times New Roman" w:hAnsi="Times New Roman" w:cs="Times New Roman"/>
          <w:sz w:val="24"/>
        </w:rPr>
        <w:t xml:space="preserve">selective </w:t>
      </w:r>
      <w:r w:rsidR="001C1759" w:rsidRPr="00B86B18">
        <w:rPr>
          <w:rFonts w:ascii="Times New Roman" w:hAnsi="Times New Roman" w:cs="Times New Roman"/>
          <w:sz w:val="24"/>
        </w:rPr>
        <w:t>mi</w:t>
      </w:r>
      <w:r w:rsidR="00761AA8" w:rsidRPr="00B86B18">
        <w:rPr>
          <w:rFonts w:ascii="Times New Roman" w:hAnsi="Times New Roman" w:cs="Times New Roman"/>
          <w:sz w:val="24"/>
        </w:rPr>
        <w:t>nimal media agar plate</w:t>
      </w:r>
      <w:r w:rsidR="00417D24" w:rsidRPr="00B86B18">
        <w:rPr>
          <w:rFonts w:ascii="Times New Roman" w:hAnsi="Times New Roman" w:cs="Times New Roman"/>
          <w:sz w:val="24"/>
        </w:rPr>
        <w:t xml:space="preserve"> with</w:t>
      </w:r>
      <w:r w:rsidR="00761AA8" w:rsidRPr="00B86B18">
        <w:rPr>
          <w:rFonts w:ascii="Times New Roman" w:hAnsi="Times New Roman" w:cs="Times New Roman"/>
          <w:sz w:val="24"/>
        </w:rPr>
        <w:t xml:space="preserve"> </w:t>
      </w:r>
      <w:r w:rsidR="00417D24" w:rsidRPr="00B86B18">
        <w:rPr>
          <w:rFonts w:ascii="Times New Roman" w:hAnsi="Times New Roman" w:cs="Times New Roman"/>
          <w:sz w:val="24"/>
        </w:rPr>
        <w:t xml:space="preserve">gentamycin plus </w:t>
      </w:r>
      <w:r w:rsidR="00F8702D" w:rsidRPr="00B86B18">
        <w:rPr>
          <w:rFonts w:ascii="Times New Roman" w:hAnsi="Times New Roman" w:cs="Times New Roman"/>
          <w:sz w:val="24"/>
        </w:rPr>
        <w:t xml:space="preserve">factors such as sodium succinate </w:t>
      </w:r>
      <w:r w:rsidR="00B637D4" w:rsidRPr="00B86B18">
        <w:rPr>
          <w:rFonts w:ascii="Times New Roman" w:hAnsi="Times New Roman" w:cs="Times New Roman"/>
          <w:sz w:val="24"/>
        </w:rPr>
        <w:t>and</w:t>
      </w:r>
      <w:r w:rsidR="005757A3" w:rsidRPr="00B86B18">
        <w:rPr>
          <w:rFonts w:ascii="Times New Roman" w:hAnsi="Times New Roman" w:cs="Times New Roman"/>
          <w:sz w:val="24"/>
        </w:rPr>
        <w:t xml:space="preserve"> M63 salts </w:t>
      </w:r>
      <w:r w:rsidR="00417D24" w:rsidRPr="00B86B18">
        <w:rPr>
          <w:rFonts w:ascii="Times New Roman" w:hAnsi="Times New Roman" w:cs="Times New Roman"/>
          <w:sz w:val="24"/>
        </w:rPr>
        <w:t xml:space="preserve">that </w:t>
      </w:r>
      <w:r w:rsidR="005757A3" w:rsidRPr="00B86B18">
        <w:rPr>
          <w:rFonts w:ascii="Times New Roman" w:hAnsi="Times New Roman" w:cs="Times New Roman"/>
          <w:sz w:val="24"/>
        </w:rPr>
        <w:t xml:space="preserve">inhibit </w:t>
      </w:r>
      <w:r w:rsidR="005757A3" w:rsidRPr="00B86B18">
        <w:rPr>
          <w:rFonts w:ascii="Times New Roman" w:hAnsi="Times New Roman" w:cs="Times New Roman"/>
          <w:i/>
          <w:sz w:val="24"/>
        </w:rPr>
        <w:t>E. coli</w:t>
      </w:r>
      <w:r w:rsidR="005757A3" w:rsidRPr="00B86B18">
        <w:rPr>
          <w:rFonts w:ascii="Times New Roman" w:hAnsi="Times New Roman" w:cs="Times New Roman"/>
          <w:sz w:val="24"/>
        </w:rPr>
        <w:t xml:space="preserve"> growth and promote </w:t>
      </w:r>
      <w:r w:rsidR="005757A3" w:rsidRPr="00B86B18">
        <w:rPr>
          <w:rFonts w:ascii="Times New Roman" w:hAnsi="Times New Roman" w:cs="Times New Roman"/>
          <w:i/>
          <w:sz w:val="24"/>
        </w:rPr>
        <w:t>Pseudomonas</w:t>
      </w:r>
      <w:r w:rsidR="005757A3" w:rsidRPr="00B86B18">
        <w:rPr>
          <w:rFonts w:ascii="Times New Roman" w:hAnsi="Times New Roman" w:cs="Times New Roman"/>
          <w:sz w:val="24"/>
        </w:rPr>
        <w:t xml:space="preserve"> growth. </w:t>
      </w:r>
      <w:r w:rsidR="005539BF" w:rsidRPr="00B86B18">
        <w:rPr>
          <w:rFonts w:ascii="Times New Roman" w:hAnsi="Times New Roman" w:cs="Times New Roman"/>
          <w:sz w:val="24"/>
        </w:rPr>
        <w:t>After selecting for the conjugated colonies, I w</w:t>
      </w:r>
      <w:r w:rsidR="00B4701B" w:rsidRPr="00B86B18">
        <w:rPr>
          <w:rFonts w:ascii="Times New Roman" w:hAnsi="Times New Roman" w:cs="Times New Roman"/>
          <w:sz w:val="24"/>
        </w:rPr>
        <w:t>ill grow the</w:t>
      </w:r>
      <w:r w:rsidR="00256F50" w:rsidRPr="00B86B18">
        <w:rPr>
          <w:rFonts w:ascii="Times New Roman" w:hAnsi="Times New Roman" w:cs="Times New Roman"/>
          <w:sz w:val="24"/>
        </w:rPr>
        <w:t>m</w:t>
      </w:r>
      <w:r w:rsidR="00B4701B" w:rsidRPr="00B86B18">
        <w:rPr>
          <w:rFonts w:ascii="Times New Roman" w:hAnsi="Times New Roman" w:cs="Times New Roman"/>
          <w:sz w:val="24"/>
        </w:rPr>
        <w:t xml:space="preserve"> overnight in TSB, and then transfer them to a tryptic soy agar + TCS plate. </w:t>
      </w:r>
      <w:r w:rsidR="003A3B6F" w:rsidRPr="00B86B18">
        <w:rPr>
          <w:rFonts w:ascii="Times New Roman" w:hAnsi="Times New Roman" w:cs="Times New Roman"/>
          <w:sz w:val="24"/>
        </w:rPr>
        <w:t xml:space="preserve">The wild type </w:t>
      </w:r>
      <w:r w:rsidR="003A3B6F" w:rsidRPr="00B86B18">
        <w:rPr>
          <w:rFonts w:ascii="Times New Roman" w:hAnsi="Times New Roman" w:cs="Times New Roman"/>
          <w:i/>
          <w:sz w:val="24"/>
        </w:rPr>
        <w:t>P. fulva</w:t>
      </w:r>
      <w:r w:rsidR="00B4701B" w:rsidRPr="00B86B18">
        <w:rPr>
          <w:rFonts w:ascii="Times New Roman" w:hAnsi="Times New Roman" w:cs="Times New Roman"/>
          <w:sz w:val="24"/>
        </w:rPr>
        <w:t xml:space="preserve"> was previously able to grow in the presence of TCS </w:t>
      </w:r>
      <w:r w:rsidR="00CF2F43" w:rsidRPr="00B86B18">
        <w:rPr>
          <w:rFonts w:ascii="Times New Roman" w:hAnsi="Times New Roman" w:cs="Times New Roman"/>
          <w:sz w:val="24"/>
        </w:rPr>
        <w:t>at</w:t>
      </w:r>
      <w:r w:rsidR="00B4701B" w:rsidRPr="00B86B18">
        <w:rPr>
          <w:rFonts w:ascii="Times New Roman" w:hAnsi="Times New Roman" w:cs="Times New Roman"/>
          <w:sz w:val="24"/>
        </w:rPr>
        <w:t xml:space="preserve"> </w:t>
      </w:r>
      <w:r w:rsidR="00F13A1D" w:rsidRPr="00B86B18">
        <w:rPr>
          <w:rFonts w:ascii="Times New Roman" w:hAnsi="Times New Roman" w:cs="Times New Roman"/>
          <w:sz w:val="24"/>
        </w:rPr>
        <w:t>12</w:t>
      </w:r>
      <w:r w:rsidR="00EA1F98" w:rsidRPr="00B86B18">
        <w:rPr>
          <w:rFonts w:ascii="Times New Roman" w:hAnsi="Times New Roman" w:cs="Times New Roman"/>
          <w:sz w:val="24"/>
        </w:rPr>
        <w:t>8.0 mg/</w:t>
      </w:r>
      <w:r w:rsidR="002234DB" w:rsidRPr="00B86B18">
        <w:rPr>
          <w:rFonts w:ascii="Times New Roman" w:hAnsi="Times New Roman" w:cs="Times New Roman"/>
          <w:sz w:val="24"/>
        </w:rPr>
        <w:t>L</w:t>
      </w:r>
      <w:r w:rsidR="00CF0DD0" w:rsidRPr="00B86B18">
        <w:rPr>
          <w:rFonts w:ascii="Times New Roman" w:hAnsi="Times New Roman" w:cs="Times New Roman"/>
          <w:sz w:val="24"/>
        </w:rPr>
        <w:t xml:space="preserve">. </w:t>
      </w:r>
      <w:r w:rsidR="006A4796" w:rsidRPr="00B86B18">
        <w:rPr>
          <w:rFonts w:ascii="Times New Roman" w:hAnsi="Times New Roman" w:cs="Times New Roman"/>
          <w:sz w:val="24"/>
        </w:rPr>
        <w:t>If</w:t>
      </w:r>
      <w:r w:rsidR="002234DB" w:rsidRPr="00B86B18">
        <w:rPr>
          <w:rFonts w:ascii="Times New Roman" w:hAnsi="Times New Roman" w:cs="Times New Roman"/>
          <w:sz w:val="24"/>
        </w:rPr>
        <w:t xml:space="preserve"> the</w:t>
      </w:r>
      <w:r w:rsidR="003A3B6F" w:rsidRPr="00B86B18">
        <w:rPr>
          <w:rFonts w:ascii="Times New Roman" w:hAnsi="Times New Roman" w:cs="Times New Roman"/>
          <w:sz w:val="24"/>
        </w:rPr>
        <w:t xml:space="preserve"> mutants</w:t>
      </w:r>
      <w:r w:rsidR="002234DB" w:rsidRPr="00B86B18">
        <w:rPr>
          <w:rFonts w:ascii="Times New Roman" w:hAnsi="Times New Roman" w:cs="Times New Roman"/>
          <w:sz w:val="24"/>
        </w:rPr>
        <w:t xml:space="preserve"> are no longer able to grow in the presence of TCS at this concentration</w:t>
      </w:r>
      <w:r w:rsidR="00A8043F" w:rsidRPr="00B86B18">
        <w:rPr>
          <w:rFonts w:ascii="Times New Roman" w:hAnsi="Times New Roman" w:cs="Times New Roman"/>
          <w:sz w:val="24"/>
        </w:rPr>
        <w:t>, the transposon</w:t>
      </w:r>
      <w:r w:rsidR="006A4796" w:rsidRPr="00B86B18">
        <w:rPr>
          <w:rFonts w:ascii="Times New Roman" w:hAnsi="Times New Roman" w:cs="Times New Roman"/>
          <w:sz w:val="24"/>
        </w:rPr>
        <w:t xml:space="preserve"> likely</w:t>
      </w:r>
      <w:r w:rsidR="00A8043F" w:rsidRPr="00B86B18">
        <w:rPr>
          <w:rFonts w:ascii="Times New Roman" w:hAnsi="Times New Roman" w:cs="Times New Roman"/>
          <w:sz w:val="24"/>
        </w:rPr>
        <w:t xml:space="preserve"> knocked out a gene involved in</w:t>
      </w:r>
      <w:r w:rsidR="00752730" w:rsidRPr="00B86B18">
        <w:rPr>
          <w:rFonts w:ascii="Times New Roman" w:hAnsi="Times New Roman" w:cs="Times New Roman"/>
          <w:sz w:val="24"/>
        </w:rPr>
        <w:t xml:space="preserve"> antibiotic resistance</w:t>
      </w:r>
      <w:r w:rsidR="006A4796" w:rsidRPr="00B86B18">
        <w:rPr>
          <w:rFonts w:ascii="Times New Roman" w:hAnsi="Times New Roman" w:cs="Times New Roman"/>
          <w:sz w:val="24"/>
        </w:rPr>
        <w:t>.</w:t>
      </w:r>
      <w:r w:rsidR="00752730" w:rsidRPr="00B86B18">
        <w:rPr>
          <w:rFonts w:ascii="Times New Roman" w:hAnsi="Times New Roman" w:cs="Times New Roman"/>
          <w:sz w:val="24"/>
        </w:rPr>
        <w:t xml:space="preserve"> </w:t>
      </w:r>
      <w:r w:rsidR="00CF2F43" w:rsidRPr="00B86B18">
        <w:rPr>
          <w:rFonts w:ascii="Times New Roman" w:hAnsi="Times New Roman" w:cs="Times New Roman"/>
          <w:sz w:val="24"/>
        </w:rPr>
        <w:t>I will use</w:t>
      </w:r>
      <w:r w:rsidR="007801E4" w:rsidRPr="00B86B18">
        <w:rPr>
          <w:rFonts w:ascii="Times New Roman" w:hAnsi="Times New Roman" w:cs="Times New Roman"/>
          <w:sz w:val="24"/>
        </w:rPr>
        <w:t xml:space="preserve"> </w:t>
      </w:r>
      <w:r w:rsidR="00CF2F43" w:rsidRPr="00B86B18">
        <w:rPr>
          <w:rFonts w:ascii="Times New Roman" w:hAnsi="Times New Roman" w:cs="Times New Roman"/>
          <w:sz w:val="24"/>
        </w:rPr>
        <w:t>S</w:t>
      </w:r>
      <w:r w:rsidR="007801E4" w:rsidRPr="00B86B18">
        <w:rPr>
          <w:rFonts w:ascii="Times New Roman" w:hAnsi="Times New Roman" w:cs="Times New Roman"/>
          <w:sz w:val="24"/>
        </w:rPr>
        <w:t xml:space="preserve">anger sequencing to determine </w:t>
      </w:r>
      <w:r w:rsidR="00CF2F43" w:rsidRPr="00B86B18">
        <w:rPr>
          <w:rFonts w:ascii="Times New Roman" w:hAnsi="Times New Roman" w:cs="Times New Roman"/>
          <w:sz w:val="24"/>
        </w:rPr>
        <w:t xml:space="preserve">whether </w:t>
      </w:r>
      <w:r w:rsidR="00752730" w:rsidRPr="00B86B18">
        <w:rPr>
          <w:rFonts w:ascii="Times New Roman" w:hAnsi="Times New Roman" w:cs="Times New Roman"/>
          <w:sz w:val="24"/>
        </w:rPr>
        <w:t xml:space="preserve">the transposon inserted into the </w:t>
      </w:r>
      <w:r w:rsidR="001E4A72" w:rsidRPr="00B86B18">
        <w:rPr>
          <w:rFonts w:ascii="Times New Roman" w:hAnsi="Times New Roman" w:cs="Times New Roman"/>
          <w:i/>
          <w:sz w:val="24"/>
        </w:rPr>
        <w:t>mexAB-oprM</w:t>
      </w:r>
      <w:r w:rsidR="001E4A72" w:rsidRPr="00B86B18">
        <w:rPr>
          <w:rFonts w:ascii="Times New Roman" w:hAnsi="Times New Roman" w:cs="Times New Roman"/>
          <w:sz w:val="24"/>
        </w:rPr>
        <w:t xml:space="preserve"> </w:t>
      </w:r>
      <w:r w:rsidR="00752730" w:rsidRPr="00B86B18">
        <w:rPr>
          <w:rFonts w:ascii="Times New Roman" w:hAnsi="Times New Roman" w:cs="Times New Roman"/>
          <w:sz w:val="24"/>
        </w:rPr>
        <w:t>operon</w:t>
      </w:r>
      <w:r w:rsidR="007801E4" w:rsidRPr="00B86B18">
        <w:rPr>
          <w:rFonts w:ascii="Times New Roman" w:hAnsi="Times New Roman" w:cs="Times New Roman"/>
          <w:sz w:val="24"/>
        </w:rPr>
        <w:t>.</w:t>
      </w:r>
      <w:r w:rsidR="0068565C" w:rsidRPr="00B86B18">
        <w:rPr>
          <w:rFonts w:ascii="Times New Roman" w:hAnsi="Times New Roman" w:cs="Times New Roman"/>
          <w:sz w:val="24"/>
        </w:rPr>
        <w:t xml:space="preserve"> </w:t>
      </w:r>
      <w:r w:rsidR="007B743D" w:rsidRPr="00B86B18">
        <w:rPr>
          <w:rFonts w:ascii="Times New Roman" w:hAnsi="Times New Roman" w:cs="Times New Roman"/>
          <w:sz w:val="24"/>
        </w:rPr>
        <w:t xml:space="preserve"> </w:t>
      </w:r>
      <w:r w:rsidR="00CE60BF" w:rsidRPr="00B86B18">
        <w:rPr>
          <w:rFonts w:ascii="Times New Roman" w:hAnsi="Times New Roman" w:cs="Times New Roman"/>
          <w:sz w:val="24"/>
        </w:rPr>
        <w:t xml:space="preserve">Figure 1, inserted below in appendix 2, </w:t>
      </w:r>
      <w:r w:rsidR="001B0FA8" w:rsidRPr="00B86B18">
        <w:rPr>
          <w:rFonts w:ascii="Times New Roman" w:hAnsi="Times New Roman" w:cs="Times New Roman"/>
          <w:sz w:val="24"/>
        </w:rPr>
        <w:t>shows</w:t>
      </w:r>
      <w:r w:rsidR="00CE60BF" w:rsidRPr="00B86B18">
        <w:rPr>
          <w:rFonts w:ascii="Times New Roman" w:hAnsi="Times New Roman" w:cs="Times New Roman"/>
          <w:sz w:val="24"/>
        </w:rPr>
        <w:t xml:space="preserve"> the </w:t>
      </w:r>
      <w:r w:rsidR="00B242C9" w:rsidRPr="00B86B18">
        <w:rPr>
          <w:rFonts w:ascii="Times New Roman" w:hAnsi="Times New Roman" w:cs="Times New Roman"/>
          <w:sz w:val="24"/>
        </w:rPr>
        <w:t xml:space="preserve">insertion map of the mutant colony </w:t>
      </w:r>
      <w:r w:rsidR="00875B48" w:rsidRPr="00B86B18">
        <w:rPr>
          <w:rFonts w:ascii="Times New Roman" w:hAnsi="Times New Roman" w:cs="Times New Roman"/>
          <w:sz w:val="24"/>
        </w:rPr>
        <w:t>that exhibited</w:t>
      </w:r>
      <w:r w:rsidR="00B242C9" w:rsidRPr="00B86B18">
        <w:rPr>
          <w:rFonts w:ascii="Times New Roman" w:hAnsi="Times New Roman" w:cs="Times New Roman"/>
          <w:sz w:val="24"/>
        </w:rPr>
        <w:t xml:space="preserve"> decreased resistan</w:t>
      </w:r>
      <w:r w:rsidR="00CE60BF" w:rsidRPr="00B86B18">
        <w:rPr>
          <w:rFonts w:ascii="Times New Roman" w:hAnsi="Times New Roman" w:cs="Times New Roman"/>
          <w:sz w:val="24"/>
        </w:rPr>
        <w:t>ce</w:t>
      </w:r>
      <w:r w:rsidR="00875B48" w:rsidRPr="00B86B18">
        <w:rPr>
          <w:rFonts w:ascii="Times New Roman" w:hAnsi="Times New Roman" w:cs="Times New Roman"/>
          <w:sz w:val="24"/>
        </w:rPr>
        <w:t xml:space="preserve"> after mutagenesis</w:t>
      </w:r>
      <w:r w:rsidR="001B0FA8" w:rsidRPr="00B86B18">
        <w:rPr>
          <w:rFonts w:ascii="Times New Roman" w:hAnsi="Times New Roman" w:cs="Times New Roman"/>
          <w:sz w:val="24"/>
        </w:rPr>
        <w:t>. This figure illustrates t</w:t>
      </w:r>
      <w:r w:rsidR="00B242C9" w:rsidRPr="00B86B18">
        <w:rPr>
          <w:rFonts w:ascii="Times New Roman" w:hAnsi="Times New Roman" w:cs="Times New Roman"/>
          <w:sz w:val="24"/>
        </w:rPr>
        <w:t xml:space="preserve">hat the transposon was inserted into the </w:t>
      </w:r>
      <w:r w:rsidR="00B242C9" w:rsidRPr="00B86B18">
        <w:rPr>
          <w:rFonts w:ascii="Times New Roman" w:hAnsi="Times New Roman" w:cs="Times New Roman"/>
          <w:i/>
          <w:sz w:val="24"/>
        </w:rPr>
        <w:t>mexA</w:t>
      </w:r>
      <w:r w:rsidR="00B242C9" w:rsidRPr="00B86B18">
        <w:rPr>
          <w:rFonts w:ascii="Times New Roman" w:hAnsi="Times New Roman" w:cs="Times New Roman"/>
          <w:sz w:val="24"/>
        </w:rPr>
        <w:t xml:space="preserve"> region of the genome</w:t>
      </w:r>
      <w:r w:rsidR="001B0FA8" w:rsidRPr="00B86B18">
        <w:rPr>
          <w:rFonts w:ascii="Times New Roman" w:hAnsi="Times New Roman" w:cs="Times New Roman"/>
          <w:sz w:val="24"/>
        </w:rPr>
        <w:t xml:space="preserve">, knocking out the resistance phenotype. </w:t>
      </w:r>
    </w:p>
    <w:p w14:paraId="55AB30D3" w14:textId="092BB0FD" w:rsidR="007B743D" w:rsidRPr="00B86B18" w:rsidRDefault="0064467A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 </w:t>
      </w:r>
      <w:r w:rsidR="00417D24" w:rsidRPr="00B86B18">
        <w:rPr>
          <w:rFonts w:ascii="Times New Roman" w:hAnsi="Times New Roman" w:cs="Times New Roman"/>
          <w:sz w:val="24"/>
        </w:rPr>
        <w:t xml:space="preserve">So far, I have created 1,500 mutants of </w:t>
      </w:r>
      <w:r w:rsidR="00417D24" w:rsidRPr="00B86B18">
        <w:rPr>
          <w:rFonts w:ascii="Times New Roman" w:hAnsi="Times New Roman" w:cs="Times New Roman"/>
          <w:i/>
          <w:sz w:val="24"/>
        </w:rPr>
        <w:t>P. fulva</w:t>
      </w:r>
      <w:r w:rsidR="00417D24" w:rsidRPr="00B86B18">
        <w:rPr>
          <w:rFonts w:ascii="Times New Roman" w:hAnsi="Times New Roman" w:cs="Times New Roman"/>
          <w:sz w:val="24"/>
        </w:rPr>
        <w:t xml:space="preserve"> via conjugation and transposon mutagenesis.</w:t>
      </w:r>
      <w:r w:rsidR="007B743D" w:rsidRPr="00B86B18">
        <w:rPr>
          <w:rFonts w:ascii="Times New Roman" w:hAnsi="Times New Roman" w:cs="Times New Roman"/>
          <w:sz w:val="24"/>
        </w:rPr>
        <w:t xml:space="preserve"> Out of the 1,500 mutants thus far created, one colony was unable to grow in the presence of TCS. Based on the sequencing results, the transposon was inserted into the </w:t>
      </w:r>
      <w:r w:rsidR="007B743D" w:rsidRPr="00B86B18">
        <w:rPr>
          <w:rFonts w:ascii="Times New Roman" w:hAnsi="Times New Roman" w:cs="Times New Roman"/>
          <w:i/>
          <w:sz w:val="24"/>
        </w:rPr>
        <w:t>mexAB-oprM</w:t>
      </w:r>
      <w:r w:rsidR="007B743D" w:rsidRPr="00B86B18">
        <w:rPr>
          <w:rFonts w:ascii="Times New Roman" w:hAnsi="Times New Roman" w:cs="Times New Roman"/>
          <w:sz w:val="24"/>
        </w:rPr>
        <w:t xml:space="preserve"> operon. For </w:t>
      </w:r>
      <w:r w:rsidR="007B743D" w:rsidRPr="00B86B18">
        <w:rPr>
          <w:rFonts w:ascii="Times New Roman" w:hAnsi="Times New Roman" w:cs="Times New Roman"/>
          <w:i/>
          <w:sz w:val="24"/>
        </w:rPr>
        <w:t>P. fulva</w:t>
      </w:r>
      <w:r w:rsidR="007B743D" w:rsidRPr="00B86B18">
        <w:rPr>
          <w:rFonts w:ascii="Times New Roman" w:hAnsi="Times New Roman" w:cs="Times New Roman"/>
          <w:sz w:val="24"/>
        </w:rPr>
        <w:t xml:space="preserve">, the MIC of the mutant decreased to 8.0 mg/L, showing how antibiotic resistance decreased when the transposon was inserted into the MexAB operon. In addition to repeating this experiment with </w:t>
      </w:r>
      <w:r w:rsidR="007B743D" w:rsidRPr="00B86B18">
        <w:rPr>
          <w:rFonts w:ascii="Times New Roman" w:hAnsi="Times New Roman" w:cs="Times New Roman"/>
          <w:i/>
          <w:sz w:val="24"/>
        </w:rPr>
        <w:t>P. stutzeri</w:t>
      </w:r>
      <w:r w:rsidR="007B743D" w:rsidRPr="00B86B18">
        <w:rPr>
          <w:rFonts w:ascii="Times New Roman" w:hAnsi="Times New Roman" w:cs="Times New Roman"/>
          <w:sz w:val="24"/>
        </w:rPr>
        <w:t xml:space="preserve">, I would like to be able to continue this work with </w:t>
      </w:r>
      <w:r w:rsidR="007B743D" w:rsidRPr="00B86B18">
        <w:rPr>
          <w:rFonts w:ascii="Times New Roman" w:hAnsi="Times New Roman" w:cs="Times New Roman"/>
          <w:i/>
          <w:sz w:val="24"/>
        </w:rPr>
        <w:t xml:space="preserve">P. fulva </w:t>
      </w:r>
      <w:r w:rsidR="007B743D" w:rsidRPr="00B86B18">
        <w:rPr>
          <w:rFonts w:ascii="Times New Roman" w:hAnsi="Times New Roman" w:cs="Times New Roman"/>
          <w:sz w:val="24"/>
        </w:rPr>
        <w:t>to further assess the factors of antibiotic resistance</w:t>
      </w:r>
      <w:r w:rsidR="00050662" w:rsidRPr="00B86B18">
        <w:rPr>
          <w:rFonts w:ascii="Times New Roman" w:hAnsi="Times New Roman" w:cs="Times New Roman"/>
          <w:sz w:val="24"/>
        </w:rPr>
        <w:t xml:space="preserve"> and </w:t>
      </w:r>
      <w:r w:rsidR="00E9738D" w:rsidRPr="00B86B18">
        <w:rPr>
          <w:rFonts w:ascii="Times New Roman" w:hAnsi="Times New Roman" w:cs="Times New Roman"/>
          <w:sz w:val="24"/>
        </w:rPr>
        <w:t>to see which other genes influence levels of resistance</w:t>
      </w:r>
      <w:r w:rsidR="007B743D" w:rsidRPr="00B86B18">
        <w:rPr>
          <w:rFonts w:ascii="Times New Roman" w:hAnsi="Times New Roman" w:cs="Times New Roman"/>
          <w:sz w:val="24"/>
        </w:rPr>
        <w:t>.</w:t>
      </w:r>
      <w:r w:rsidR="00417D24" w:rsidRPr="00B86B18">
        <w:rPr>
          <w:rFonts w:ascii="Times New Roman" w:hAnsi="Times New Roman" w:cs="Times New Roman"/>
          <w:sz w:val="24"/>
        </w:rPr>
        <w:t xml:space="preserve"> </w:t>
      </w:r>
    </w:p>
    <w:p w14:paraId="3D885679" w14:textId="6C948655" w:rsidR="00793624" w:rsidRPr="00B86B18" w:rsidRDefault="00417D24" w:rsidP="0032130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To</w:t>
      </w:r>
      <w:r w:rsidR="00870244" w:rsidRPr="00B86B18">
        <w:rPr>
          <w:rFonts w:ascii="Times New Roman" w:hAnsi="Times New Roman" w:cs="Times New Roman"/>
          <w:sz w:val="24"/>
        </w:rPr>
        <w:t xml:space="preserve"> prepare for this lab work, I have </w:t>
      </w:r>
      <w:r w:rsidR="00513B66" w:rsidRPr="00B86B18">
        <w:rPr>
          <w:rFonts w:ascii="Times New Roman" w:hAnsi="Times New Roman" w:cs="Times New Roman"/>
          <w:sz w:val="24"/>
        </w:rPr>
        <w:t>completed the biology 220 laboratory</w:t>
      </w:r>
      <w:r w:rsidR="00D41B4F" w:rsidRPr="00B86B18">
        <w:rPr>
          <w:rFonts w:ascii="Times New Roman" w:hAnsi="Times New Roman" w:cs="Times New Roman"/>
          <w:sz w:val="24"/>
        </w:rPr>
        <w:t>,</w:t>
      </w:r>
      <w:r w:rsidR="004704F3" w:rsidRPr="00B86B18">
        <w:rPr>
          <w:rFonts w:ascii="Times New Roman" w:hAnsi="Times New Roman" w:cs="Times New Roman"/>
          <w:sz w:val="24"/>
        </w:rPr>
        <w:t xml:space="preserve"> </w:t>
      </w:r>
      <w:r w:rsidR="007043DB" w:rsidRPr="00B86B18">
        <w:rPr>
          <w:rFonts w:ascii="Times New Roman" w:hAnsi="Times New Roman" w:cs="Times New Roman"/>
          <w:sz w:val="24"/>
        </w:rPr>
        <w:t>general chemistry 12</w:t>
      </w:r>
      <w:r w:rsidR="00396EA2" w:rsidRPr="00B86B18">
        <w:rPr>
          <w:rFonts w:ascii="Times New Roman" w:hAnsi="Times New Roman" w:cs="Times New Roman"/>
          <w:sz w:val="24"/>
        </w:rPr>
        <w:t>1</w:t>
      </w:r>
      <w:r w:rsidR="004704F3" w:rsidRPr="00B86B18">
        <w:rPr>
          <w:rFonts w:ascii="Times New Roman" w:hAnsi="Times New Roman" w:cs="Times New Roman"/>
          <w:sz w:val="24"/>
        </w:rPr>
        <w:t xml:space="preserve"> laboratory</w:t>
      </w:r>
      <w:r w:rsidR="00D41B4F" w:rsidRPr="00B86B18">
        <w:rPr>
          <w:rFonts w:ascii="Times New Roman" w:hAnsi="Times New Roman" w:cs="Times New Roman"/>
          <w:sz w:val="24"/>
        </w:rPr>
        <w:t xml:space="preserve">, </w:t>
      </w:r>
      <w:r w:rsidR="00396EA2" w:rsidRPr="00B86B18">
        <w:rPr>
          <w:rFonts w:ascii="Times New Roman" w:hAnsi="Times New Roman" w:cs="Times New Roman"/>
          <w:sz w:val="24"/>
        </w:rPr>
        <w:t>organic chemistry 230 lab</w:t>
      </w:r>
      <w:r w:rsidR="004704F3" w:rsidRPr="00B86B18">
        <w:rPr>
          <w:rFonts w:ascii="Times New Roman" w:hAnsi="Times New Roman" w:cs="Times New Roman"/>
          <w:sz w:val="24"/>
        </w:rPr>
        <w:t>oratory</w:t>
      </w:r>
      <w:r w:rsidR="00396EA2" w:rsidRPr="00B86B18">
        <w:rPr>
          <w:rFonts w:ascii="Times New Roman" w:hAnsi="Times New Roman" w:cs="Times New Roman"/>
          <w:sz w:val="24"/>
        </w:rPr>
        <w:t xml:space="preserve"> sequences</w:t>
      </w:r>
      <w:r w:rsidR="00D41B4F" w:rsidRPr="00B86B18">
        <w:rPr>
          <w:rFonts w:ascii="Times New Roman" w:hAnsi="Times New Roman" w:cs="Times New Roman"/>
          <w:sz w:val="24"/>
        </w:rPr>
        <w:t xml:space="preserve"> as well as </w:t>
      </w:r>
      <w:r w:rsidR="00396EA2" w:rsidRPr="00B86B18">
        <w:rPr>
          <w:rFonts w:ascii="Times New Roman" w:hAnsi="Times New Roman" w:cs="Times New Roman"/>
          <w:sz w:val="24"/>
        </w:rPr>
        <w:t>courses in genetics, cell biology, physiology, animal physiology, biochemistry</w:t>
      </w:r>
      <w:r w:rsidR="00164D13" w:rsidRPr="00B86B18">
        <w:rPr>
          <w:rFonts w:ascii="Times New Roman" w:hAnsi="Times New Roman" w:cs="Times New Roman"/>
          <w:sz w:val="24"/>
        </w:rPr>
        <w:t>, organic chemistry</w:t>
      </w:r>
      <w:r w:rsidR="007A239C" w:rsidRPr="00B86B18">
        <w:rPr>
          <w:rFonts w:ascii="Times New Roman" w:hAnsi="Times New Roman" w:cs="Times New Roman"/>
          <w:sz w:val="24"/>
        </w:rPr>
        <w:t>, general chemistry</w:t>
      </w:r>
      <w:r w:rsidR="004704F3" w:rsidRPr="00B86B18">
        <w:rPr>
          <w:rFonts w:ascii="Times New Roman" w:hAnsi="Times New Roman" w:cs="Times New Roman"/>
          <w:sz w:val="24"/>
        </w:rPr>
        <w:t xml:space="preserve"> and international public health</w:t>
      </w:r>
      <w:r w:rsidR="007A239C" w:rsidRPr="00B86B18">
        <w:rPr>
          <w:rFonts w:ascii="Times New Roman" w:hAnsi="Times New Roman" w:cs="Times New Roman"/>
          <w:sz w:val="24"/>
        </w:rPr>
        <w:t xml:space="preserve">. Finally, I have been enrolled in civil and environmental engineering 399 with Dr. Hartmann for </w:t>
      </w:r>
      <w:r w:rsidR="00975958" w:rsidRPr="00B86B18">
        <w:rPr>
          <w:rFonts w:ascii="Times New Roman" w:hAnsi="Times New Roman" w:cs="Times New Roman"/>
          <w:sz w:val="24"/>
        </w:rPr>
        <w:t>2 quart</w:t>
      </w:r>
      <w:r w:rsidR="00A225D5" w:rsidRPr="00B86B18">
        <w:rPr>
          <w:rFonts w:ascii="Times New Roman" w:hAnsi="Times New Roman" w:cs="Times New Roman"/>
          <w:sz w:val="24"/>
        </w:rPr>
        <w:t>er</w:t>
      </w:r>
      <w:r w:rsidR="00975958" w:rsidRPr="00B86B18">
        <w:rPr>
          <w:rFonts w:ascii="Times New Roman" w:hAnsi="Times New Roman" w:cs="Times New Roman"/>
          <w:sz w:val="24"/>
        </w:rPr>
        <w:t xml:space="preserve">s and am currently enrolled in advanced cell biology and microbiology. </w:t>
      </w:r>
      <w:r w:rsidR="00E052AA" w:rsidRPr="00B86B18">
        <w:rPr>
          <w:rFonts w:ascii="Times New Roman" w:hAnsi="Times New Roman" w:cs="Times New Roman"/>
          <w:sz w:val="24"/>
        </w:rPr>
        <w:t xml:space="preserve">Each of these courses has helped me learn the skills necessary to complete this research project. </w:t>
      </w:r>
      <w:r w:rsidR="004C26AF" w:rsidRPr="00B86B18">
        <w:rPr>
          <w:rFonts w:ascii="Times New Roman" w:hAnsi="Times New Roman" w:cs="Times New Roman"/>
          <w:sz w:val="24"/>
        </w:rPr>
        <w:t xml:space="preserve">In the future, I would like to continue </w:t>
      </w:r>
      <w:r w:rsidR="003D09BF" w:rsidRPr="00B86B18">
        <w:rPr>
          <w:rFonts w:ascii="Times New Roman" w:hAnsi="Times New Roman" w:cs="Times New Roman"/>
          <w:sz w:val="24"/>
        </w:rPr>
        <w:t xml:space="preserve">to study microbiology </w:t>
      </w:r>
      <w:r w:rsidR="00691536" w:rsidRPr="00B86B18">
        <w:rPr>
          <w:rFonts w:ascii="Times New Roman" w:hAnsi="Times New Roman" w:cs="Times New Roman"/>
          <w:sz w:val="24"/>
        </w:rPr>
        <w:t>to better understand the mechanisms behind</w:t>
      </w:r>
      <w:r w:rsidR="00DD203E" w:rsidRPr="00B86B18">
        <w:rPr>
          <w:rFonts w:ascii="Times New Roman" w:hAnsi="Times New Roman" w:cs="Times New Roman"/>
          <w:sz w:val="24"/>
        </w:rPr>
        <w:t xml:space="preserve"> antibiotic resistance and the dangers of infectious pathogens. As both of these topics are an increasing threat to public </w:t>
      </w:r>
      <w:r w:rsidR="00FB723B" w:rsidRPr="00B86B18">
        <w:rPr>
          <w:rFonts w:ascii="Times New Roman" w:hAnsi="Times New Roman" w:cs="Times New Roman"/>
          <w:sz w:val="24"/>
        </w:rPr>
        <w:t>health and</w:t>
      </w:r>
      <w:r w:rsidR="00486C52" w:rsidRPr="00B86B18">
        <w:rPr>
          <w:rFonts w:ascii="Times New Roman" w:hAnsi="Times New Roman" w:cs="Times New Roman"/>
          <w:sz w:val="24"/>
        </w:rPr>
        <w:t xml:space="preserve"> are especially threatening to vulnerable populations such as hospitalized persons and those who are immunocompromised, I intend to pursue a </w:t>
      </w:r>
      <w:r w:rsidR="00993D48" w:rsidRPr="00B86B18">
        <w:rPr>
          <w:rFonts w:ascii="Times New Roman" w:hAnsi="Times New Roman" w:cs="Times New Roman"/>
          <w:sz w:val="24"/>
        </w:rPr>
        <w:t xml:space="preserve">degree in microbiology to further understand </w:t>
      </w:r>
      <w:r w:rsidR="00FB723B" w:rsidRPr="00B86B18">
        <w:rPr>
          <w:rFonts w:ascii="Times New Roman" w:hAnsi="Times New Roman" w:cs="Times New Roman"/>
          <w:sz w:val="24"/>
        </w:rPr>
        <w:t xml:space="preserve">the pathogens posing these threats. I hope to use this information to discover new ways to combat </w:t>
      </w:r>
      <w:r w:rsidR="00070DB5" w:rsidRPr="00B86B18">
        <w:rPr>
          <w:rFonts w:ascii="Times New Roman" w:hAnsi="Times New Roman" w:cs="Times New Roman"/>
          <w:sz w:val="24"/>
        </w:rPr>
        <w:t xml:space="preserve">antibiotic resistance and other virulent pathogens </w:t>
      </w:r>
      <w:r w:rsidR="00B377D4" w:rsidRPr="00B86B18">
        <w:rPr>
          <w:rFonts w:ascii="Times New Roman" w:hAnsi="Times New Roman" w:cs="Times New Roman"/>
          <w:sz w:val="24"/>
        </w:rPr>
        <w:t xml:space="preserve">threatening our public and global health. </w:t>
      </w:r>
      <w:r w:rsidR="00FB723B" w:rsidRPr="00B86B18">
        <w:rPr>
          <w:rFonts w:ascii="Times New Roman" w:hAnsi="Times New Roman" w:cs="Times New Roman"/>
          <w:sz w:val="24"/>
        </w:rPr>
        <w:t xml:space="preserve"> </w:t>
      </w:r>
    </w:p>
    <w:p w14:paraId="7961B996" w14:textId="5D1CE653" w:rsidR="003779FB" w:rsidRPr="00B86B18" w:rsidRDefault="003779FB" w:rsidP="0032130D">
      <w:pPr>
        <w:pStyle w:val="ListParagraph"/>
        <w:spacing w:after="150" w:line="240" w:lineRule="auto"/>
        <w:rPr>
          <w:rFonts w:ascii="Times New Roman" w:eastAsia="Times New Roman" w:hAnsi="Times New Roman" w:cs="Times New Roman"/>
          <w:sz w:val="24"/>
        </w:rPr>
      </w:pPr>
    </w:p>
    <w:p w14:paraId="2120229A" w14:textId="77777777" w:rsidR="001B0FA8" w:rsidRPr="00B86B18" w:rsidRDefault="001B0FA8" w:rsidP="0032130D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52FF0F9" w14:textId="5DDDCD76" w:rsidR="00F93050" w:rsidRPr="00B86B18" w:rsidRDefault="00F93050" w:rsidP="0032130D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86B18">
        <w:rPr>
          <w:rFonts w:ascii="Times New Roman" w:eastAsia="Times New Roman" w:hAnsi="Times New Roman" w:cs="Times New Roman"/>
          <w:b/>
          <w:sz w:val="24"/>
          <w:u w:val="single"/>
        </w:rPr>
        <w:t xml:space="preserve">Appendix </w:t>
      </w:r>
      <w:r w:rsidR="00CE60BF" w:rsidRPr="00B86B18">
        <w:rPr>
          <w:rFonts w:ascii="Times New Roman" w:eastAsia="Times New Roman" w:hAnsi="Times New Roman" w:cs="Times New Roman"/>
          <w:b/>
          <w:sz w:val="24"/>
          <w:u w:val="single"/>
        </w:rPr>
        <w:t xml:space="preserve">1: References </w:t>
      </w:r>
    </w:p>
    <w:p w14:paraId="10BDC05C" w14:textId="1890783F" w:rsidR="00E97AF4" w:rsidRPr="00B86B18" w:rsidRDefault="008461DE" w:rsidP="0032130D">
      <w:pPr>
        <w:pStyle w:val="ListParagraph"/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sz w:val="24"/>
        </w:rPr>
      </w:pPr>
      <w:r w:rsidRPr="00B86B18">
        <w:rPr>
          <w:rFonts w:ascii="Times New Roman" w:eastAsia="Times New Roman" w:hAnsi="Times New Roman" w:cs="Times New Roman"/>
          <w:sz w:val="24"/>
        </w:rPr>
        <w:t>Kamila, et al. “Characterization of a MexAB-OprM Efflux System Necessary for Productive Metabolism of Pseudomonas Azelaica HBP1 on 2-Hydroxybiphenyl.” </w:t>
      </w:r>
      <w:r w:rsidRPr="00B86B18">
        <w:rPr>
          <w:rFonts w:ascii="Times New Roman" w:eastAsia="Times New Roman" w:hAnsi="Times New Roman" w:cs="Times New Roman"/>
          <w:i/>
          <w:iCs/>
          <w:sz w:val="24"/>
        </w:rPr>
        <w:t>Frontiers</w:t>
      </w:r>
      <w:r w:rsidRPr="00B86B18">
        <w:rPr>
          <w:rFonts w:ascii="Times New Roman" w:eastAsia="Times New Roman" w:hAnsi="Times New Roman" w:cs="Times New Roman"/>
          <w:sz w:val="24"/>
        </w:rPr>
        <w:t>, Frontiers, 28 June 2013, www.frontiersin.org/articles/10.3389/fmicb.2013.00203/full.</w:t>
      </w:r>
    </w:p>
    <w:p w14:paraId="0426D8C7" w14:textId="31591DE1" w:rsidR="00213B8C" w:rsidRPr="00B86B18" w:rsidRDefault="00213B8C" w:rsidP="0032130D">
      <w:pPr>
        <w:pStyle w:val="ListParagraph"/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sz w:val="24"/>
        </w:rPr>
      </w:pPr>
      <w:r w:rsidRPr="00B86B18">
        <w:rPr>
          <w:rFonts w:ascii="Times New Roman" w:eastAsia="Times New Roman" w:hAnsi="Times New Roman" w:cs="Times New Roman"/>
          <w:sz w:val="24"/>
        </w:rPr>
        <w:lastRenderedPageBreak/>
        <w:t>Blanco, Paula, et al. “Bacterial Multidrug Efflux Pumps: Much More Than Antibiotic Resistance Determinants.” </w:t>
      </w:r>
      <w:r w:rsidRPr="00B86B18">
        <w:rPr>
          <w:rFonts w:ascii="Times New Roman" w:eastAsia="Times New Roman" w:hAnsi="Times New Roman" w:cs="Times New Roman"/>
          <w:i/>
          <w:iCs/>
          <w:sz w:val="24"/>
        </w:rPr>
        <w:t>MDPI</w:t>
      </w:r>
      <w:r w:rsidRPr="00B86B18">
        <w:rPr>
          <w:rFonts w:ascii="Times New Roman" w:eastAsia="Times New Roman" w:hAnsi="Times New Roman" w:cs="Times New Roman"/>
          <w:sz w:val="24"/>
        </w:rPr>
        <w:t>, Multidisciplinary Digital Publishing Institute, 16 Feb. 2016, www.mdpi.com/2076-2607/4/1/14.</w:t>
      </w:r>
    </w:p>
    <w:p w14:paraId="33A1BA9A" w14:textId="77777777" w:rsidR="00870244" w:rsidRPr="00B86B18" w:rsidRDefault="00870244" w:rsidP="0032130D">
      <w:pPr>
        <w:pStyle w:val="ListParagraph"/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sz w:val="24"/>
        </w:rPr>
      </w:pPr>
      <w:r w:rsidRPr="00B86B18">
        <w:rPr>
          <w:rFonts w:ascii="Times New Roman" w:eastAsia="Times New Roman" w:hAnsi="Times New Roman" w:cs="Times New Roman"/>
          <w:sz w:val="24"/>
        </w:rPr>
        <w:t>Lambert, P A. “Mechanisms of Antibiotic Resistance in Pseudomonas Aeruginosa.” </w:t>
      </w:r>
      <w:r w:rsidRPr="00B86B18">
        <w:rPr>
          <w:rFonts w:ascii="Times New Roman" w:eastAsia="Times New Roman" w:hAnsi="Times New Roman" w:cs="Times New Roman"/>
          <w:i/>
          <w:iCs/>
          <w:sz w:val="24"/>
        </w:rPr>
        <w:t>National Center for Biotechnology Information</w:t>
      </w:r>
      <w:r w:rsidRPr="00B86B18">
        <w:rPr>
          <w:rFonts w:ascii="Times New Roman" w:eastAsia="Times New Roman" w:hAnsi="Times New Roman" w:cs="Times New Roman"/>
          <w:sz w:val="24"/>
        </w:rPr>
        <w:t>, Journal Of The Royal Society Of Medicine, 2002, www.ncbi.nlm.nih.gov/pmc/articles/PMC1308633/pdf/12216271.pdf.</w:t>
      </w:r>
    </w:p>
    <w:p w14:paraId="57E5CA75" w14:textId="6DE71453" w:rsidR="00E36B5C" w:rsidRPr="00B86B18" w:rsidRDefault="00222E2B" w:rsidP="003213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Martínez, José L. “Antibiotics and Antibiotic Resistance Genes in Natural Environments.” Science, American Association for the Advancement of Science, 18 July 2008, science.sciencemag.org/content/321/5887/365?casa_token=pH3-LdlrIDkAAAAA%3A-EWqiJwAxnFZeTaOpWxF3V3Ysz3VQCeUbQyHSpYroQhJpz0JBzV38Pcy6XWuiRENG85PdfhoRk2Irw.</w:t>
      </w:r>
    </w:p>
    <w:p w14:paraId="662FCC45" w14:textId="574899FC" w:rsidR="00083EF9" w:rsidRPr="00B86B18" w:rsidRDefault="00E36B5C" w:rsidP="003213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Strand, Trine Aakvik, et al. “A New and Improved Host-Independent Plasmid System for RK2-Based Conjugal Transfer.” PLOS ONE, Public Library of Science, journals.plos.org/plosone/article?id=10.1371%2Fjournal.pone.0090372.</w:t>
      </w:r>
    </w:p>
    <w:p w14:paraId="4DC2F789" w14:textId="77777777" w:rsidR="001B0FA8" w:rsidRPr="00B86B18" w:rsidRDefault="005432A9" w:rsidP="0032130D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B86B18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Rice, P, et al. “EMBOSS: the European Molecular Biology Open Software Suite.” Current Neurology and Neuroscience Reports., U.S. National Library of Medicine, June 2000, </w:t>
      </w:r>
      <w:hyperlink r:id="rId6" w:history="1">
        <w:r w:rsidRPr="00B86B18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www.ncbi.nlm.nih.gov/pubmed/10827456</w:t>
        </w:r>
      </w:hyperlink>
      <w:r w:rsidRPr="00B86B18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.  </w:t>
      </w:r>
    </w:p>
    <w:p w14:paraId="1B3B0394" w14:textId="6AC2C9C2" w:rsidR="00CE60BF" w:rsidRPr="00B86B18" w:rsidRDefault="00CE60BF" w:rsidP="0032130D">
      <w:p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B86B18">
        <w:rPr>
          <w:rStyle w:val="Hyperlink"/>
          <w:rFonts w:ascii="Times New Roman" w:hAnsi="Times New Roman" w:cs="Times New Roman"/>
          <w:b/>
          <w:color w:val="auto"/>
          <w:sz w:val="24"/>
        </w:rPr>
        <w:t>Appendix 2: Figure 1</w:t>
      </w:r>
    </w:p>
    <w:p w14:paraId="74F9DEC0" w14:textId="4BC7552C" w:rsidR="00CE60BF" w:rsidRPr="00B86B18" w:rsidRDefault="00CE60BF" w:rsidP="0032130D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E4151F2" wp14:editId="00DE3EA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00700" cy="6096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Shot_2019-01-16_at_10.41.36_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81A39" w14:textId="5DA30AFF" w:rsidR="001B0FA8" w:rsidRPr="00B86B18" w:rsidRDefault="001B0FA8" w:rsidP="0032130D">
      <w:pPr>
        <w:spacing w:line="240" w:lineRule="auto"/>
        <w:rPr>
          <w:rFonts w:ascii="Times New Roman" w:hAnsi="Times New Roman" w:cs="Times New Roman"/>
          <w:sz w:val="24"/>
        </w:rPr>
      </w:pPr>
    </w:p>
    <w:p w14:paraId="52E9B014" w14:textId="6A14C821" w:rsidR="001B0FA8" w:rsidRPr="00B86B18" w:rsidRDefault="001B0FA8" w:rsidP="0032130D">
      <w:pPr>
        <w:spacing w:line="240" w:lineRule="auto"/>
        <w:rPr>
          <w:rFonts w:ascii="Times New Roman" w:hAnsi="Times New Roman" w:cs="Times New Roman"/>
          <w:sz w:val="24"/>
        </w:rPr>
      </w:pPr>
    </w:p>
    <w:p w14:paraId="00132E7F" w14:textId="4524A70B" w:rsidR="001B0FA8" w:rsidRPr="00B86B18" w:rsidRDefault="001B0FA8" w:rsidP="0032130D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B86B18">
        <w:rPr>
          <w:rFonts w:ascii="Times New Roman" w:hAnsi="Times New Roman" w:cs="Times New Roman"/>
          <w:b/>
          <w:sz w:val="24"/>
          <w:u w:val="single"/>
        </w:rPr>
        <w:t>Appendix 3: Itemized Budget</w:t>
      </w:r>
    </w:p>
    <w:p w14:paraId="2A291F00" w14:textId="459B0240" w:rsidR="001B0FA8" w:rsidRPr="00B86B18" w:rsidRDefault="001B0FA8" w:rsidP="0032130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Sanger sequencing </w:t>
      </w:r>
    </w:p>
    <w:p w14:paraId="66B234AE" w14:textId="3D7F1A76" w:rsidR="00176CE1" w:rsidRPr="00B86B18" w:rsidRDefault="00176CE1" w:rsidP="0032130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Reagents and media</w:t>
      </w:r>
    </w:p>
    <w:p w14:paraId="5026FA7B" w14:textId="49A6A461" w:rsidR="00176CE1" w:rsidRPr="00B86B18" w:rsidRDefault="00176CE1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Bact</w:t>
      </w:r>
      <w:r w:rsidR="00870973" w:rsidRPr="00B86B18">
        <w:rPr>
          <w:rFonts w:ascii="Times New Roman" w:hAnsi="Times New Roman" w:cs="Times New Roman"/>
          <w:sz w:val="24"/>
        </w:rPr>
        <w:t xml:space="preserve">o </w:t>
      </w:r>
      <w:r w:rsidRPr="00B86B18">
        <w:rPr>
          <w:rFonts w:ascii="Times New Roman" w:hAnsi="Times New Roman" w:cs="Times New Roman"/>
          <w:sz w:val="24"/>
        </w:rPr>
        <w:t>agar</w:t>
      </w:r>
    </w:p>
    <w:p w14:paraId="50405F7D" w14:textId="267C7F25" w:rsidR="00176CE1" w:rsidRPr="00B86B18" w:rsidRDefault="00176CE1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Sodium succinate</w:t>
      </w:r>
    </w:p>
    <w:p w14:paraId="11267028" w14:textId="3500FDEA" w:rsidR="00176CE1" w:rsidRPr="00B86B18" w:rsidRDefault="00784865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Magnesium</w:t>
      </w:r>
      <w:r w:rsidR="00176CE1" w:rsidRPr="00B86B18">
        <w:rPr>
          <w:rFonts w:ascii="Times New Roman" w:hAnsi="Times New Roman" w:cs="Times New Roman"/>
          <w:sz w:val="24"/>
        </w:rPr>
        <w:t xml:space="preserve"> chloride</w:t>
      </w:r>
    </w:p>
    <w:p w14:paraId="157D2EBE" w14:textId="0354C63D" w:rsidR="00176CE1" w:rsidRPr="00B86B18" w:rsidRDefault="00784865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Triclosan</w:t>
      </w:r>
    </w:p>
    <w:p w14:paraId="0EA8F1FB" w14:textId="5481755F" w:rsidR="00784865" w:rsidRPr="00B86B18" w:rsidRDefault="00784865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Gentamycin</w:t>
      </w:r>
    </w:p>
    <w:p w14:paraId="4A81BC57" w14:textId="4DAB318B" w:rsidR="00784865" w:rsidRPr="00B86B18" w:rsidRDefault="00784865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 xml:space="preserve">Ferrous </w:t>
      </w:r>
      <w:r w:rsidR="003D4E90" w:rsidRPr="00B86B18">
        <w:rPr>
          <w:rFonts w:ascii="Times New Roman" w:hAnsi="Times New Roman" w:cs="Times New Roman"/>
          <w:sz w:val="24"/>
        </w:rPr>
        <w:t>ammonium sulfate</w:t>
      </w:r>
    </w:p>
    <w:p w14:paraId="3B988C92" w14:textId="3FCC1EED" w:rsidR="003D4E90" w:rsidRPr="00B86B18" w:rsidRDefault="003D4E90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L-glutamic acid</w:t>
      </w:r>
    </w:p>
    <w:p w14:paraId="14CB3089" w14:textId="5FB26190" w:rsidR="00870973" w:rsidRPr="00B86B18" w:rsidRDefault="00870973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Dibasic potassium phosphate</w:t>
      </w:r>
    </w:p>
    <w:p w14:paraId="5955BC9C" w14:textId="5A91F026" w:rsidR="00870973" w:rsidRPr="00B86B18" w:rsidRDefault="00870973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Potassium dihydrogen phosphate</w:t>
      </w:r>
    </w:p>
    <w:p w14:paraId="2BB6BC65" w14:textId="2FB7F8B4" w:rsidR="00870973" w:rsidRPr="00B86B18" w:rsidRDefault="00870973" w:rsidP="0032130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B86B18">
        <w:rPr>
          <w:rFonts w:ascii="Times New Roman" w:hAnsi="Times New Roman" w:cs="Times New Roman"/>
          <w:sz w:val="24"/>
        </w:rPr>
        <w:t>Ammonium sulfate</w:t>
      </w:r>
    </w:p>
    <w:sectPr w:rsidR="00870973" w:rsidRPr="00B8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8FB"/>
    <w:multiLevelType w:val="hybridMultilevel"/>
    <w:tmpl w:val="3F74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F60D9"/>
    <w:multiLevelType w:val="hybridMultilevel"/>
    <w:tmpl w:val="3E74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F10A1"/>
    <w:multiLevelType w:val="hybridMultilevel"/>
    <w:tmpl w:val="5AB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956A5"/>
    <w:multiLevelType w:val="hybridMultilevel"/>
    <w:tmpl w:val="9738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4E"/>
    <w:rsid w:val="00001671"/>
    <w:rsid w:val="00001822"/>
    <w:rsid w:val="00006232"/>
    <w:rsid w:val="0001185F"/>
    <w:rsid w:val="000306DF"/>
    <w:rsid w:val="00045ABA"/>
    <w:rsid w:val="00050662"/>
    <w:rsid w:val="000648AC"/>
    <w:rsid w:val="00070DB5"/>
    <w:rsid w:val="00083B69"/>
    <w:rsid w:val="00083EF9"/>
    <w:rsid w:val="00093293"/>
    <w:rsid w:val="000E292D"/>
    <w:rsid w:val="000F155E"/>
    <w:rsid w:val="000F7ED1"/>
    <w:rsid w:val="00112C75"/>
    <w:rsid w:val="001202D3"/>
    <w:rsid w:val="00134057"/>
    <w:rsid w:val="00134347"/>
    <w:rsid w:val="00150B84"/>
    <w:rsid w:val="00155D46"/>
    <w:rsid w:val="001636D7"/>
    <w:rsid w:val="00164D13"/>
    <w:rsid w:val="00173923"/>
    <w:rsid w:val="001750DA"/>
    <w:rsid w:val="00176CE1"/>
    <w:rsid w:val="001942C2"/>
    <w:rsid w:val="00195F9F"/>
    <w:rsid w:val="00197F7E"/>
    <w:rsid w:val="001A1800"/>
    <w:rsid w:val="001B0FA8"/>
    <w:rsid w:val="001C1759"/>
    <w:rsid w:val="001C56C1"/>
    <w:rsid w:val="001E2337"/>
    <w:rsid w:val="001E4A72"/>
    <w:rsid w:val="001F242F"/>
    <w:rsid w:val="001F6286"/>
    <w:rsid w:val="001F7AB5"/>
    <w:rsid w:val="00200D7E"/>
    <w:rsid w:val="002052C2"/>
    <w:rsid w:val="00213B8C"/>
    <w:rsid w:val="00215805"/>
    <w:rsid w:val="00222E2B"/>
    <w:rsid w:val="002234DB"/>
    <w:rsid w:val="0023081E"/>
    <w:rsid w:val="002326BA"/>
    <w:rsid w:val="00236F5E"/>
    <w:rsid w:val="002519D5"/>
    <w:rsid w:val="002554D2"/>
    <w:rsid w:val="00256F50"/>
    <w:rsid w:val="00265DF9"/>
    <w:rsid w:val="0026600C"/>
    <w:rsid w:val="002B2414"/>
    <w:rsid w:val="002D0DE9"/>
    <w:rsid w:val="002F0679"/>
    <w:rsid w:val="002F3AE2"/>
    <w:rsid w:val="00314F5F"/>
    <w:rsid w:val="003156D1"/>
    <w:rsid w:val="0032130D"/>
    <w:rsid w:val="00331B6C"/>
    <w:rsid w:val="003327A6"/>
    <w:rsid w:val="003451D0"/>
    <w:rsid w:val="00347D55"/>
    <w:rsid w:val="00351FF5"/>
    <w:rsid w:val="0035327C"/>
    <w:rsid w:val="00376322"/>
    <w:rsid w:val="003779FB"/>
    <w:rsid w:val="00396EA2"/>
    <w:rsid w:val="00397C35"/>
    <w:rsid w:val="003A3B6F"/>
    <w:rsid w:val="003D09BF"/>
    <w:rsid w:val="003D4E90"/>
    <w:rsid w:val="003D7573"/>
    <w:rsid w:val="003E1873"/>
    <w:rsid w:val="003E44D7"/>
    <w:rsid w:val="003F3D62"/>
    <w:rsid w:val="00411063"/>
    <w:rsid w:val="00412908"/>
    <w:rsid w:val="00417D24"/>
    <w:rsid w:val="00421E4B"/>
    <w:rsid w:val="004221A1"/>
    <w:rsid w:val="00423A5F"/>
    <w:rsid w:val="00431B6D"/>
    <w:rsid w:val="00455D0B"/>
    <w:rsid w:val="00460963"/>
    <w:rsid w:val="0046372E"/>
    <w:rsid w:val="0046535D"/>
    <w:rsid w:val="004704F3"/>
    <w:rsid w:val="00472F14"/>
    <w:rsid w:val="00486C52"/>
    <w:rsid w:val="0049158D"/>
    <w:rsid w:val="004C26AF"/>
    <w:rsid w:val="004C31B4"/>
    <w:rsid w:val="004E29A3"/>
    <w:rsid w:val="004F6BEA"/>
    <w:rsid w:val="00502851"/>
    <w:rsid w:val="0050658E"/>
    <w:rsid w:val="00513B66"/>
    <w:rsid w:val="00525F2A"/>
    <w:rsid w:val="005432A9"/>
    <w:rsid w:val="005539BF"/>
    <w:rsid w:val="005562BE"/>
    <w:rsid w:val="005644BF"/>
    <w:rsid w:val="00564B39"/>
    <w:rsid w:val="005757A3"/>
    <w:rsid w:val="00576C55"/>
    <w:rsid w:val="00586792"/>
    <w:rsid w:val="0059660C"/>
    <w:rsid w:val="005B126A"/>
    <w:rsid w:val="006021E7"/>
    <w:rsid w:val="00606379"/>
    <w:rsid w:val="00613EC8"/>
    <w:rsid w:val="006221B6"/>
    <w:rsid w:val="006255B3"/>
    <w:rsid w:val="0064467A"/>
    <w:rsid w:val="006631C4"/>
    <w:rsid w:val="00663C88"/>
    <w:rsid w:val="0067696B"/>
    <w:rsid w:val="0068565C"/>
    <w:rsid w:val="00691536"/>
    <w:rsid w:val="006A4796"/>
    <w:rsid w:val="006A484E"/>
    <w:rsid w:val="006A5511"/>
    <w:rsid w:val="006B409E"/>
    <w:rsid w:val="006D2349"/>
    <w:rsid w:val="006E0DFF"/>
    <w:rsid w:val="006E106E"/>
    <w:rsid w:val="006E3238"/>
    <w:rsid w:val="006E6B6A"/>
    <w:rsid w:val="00700325"/>
    <w:rsid w:val="007043DB"/>
    <w:rsid w:val="007149EF"/>
    <w:rsid w:val="00725C1E"/>
    <w:rsid w:val="00732B1B"/>
    <w:rsid w:val="00733B42"/>
    <w:rsid w:val="00737986"/>
    <w:rsid w:val="00741162"/>
    <w:rsid w:val="00752730"/>
    <w:rsid w:val="007569C5"/>
    <w:rsid w:val="00761AA8"/>
    <w:rsid w:val="00770097"/>
    <w:rsid w:val="007801E4"/>
    <w:rsid w:val="00782915"/>
    <w:rsid w:val="00784865"/>
    <w:rsid w:val="007903DC"/>
    <w:rsid w:val="00790EBF"/>
    <w:rsid w:val="00793624"/>
    <w:rsid w:val="007A1B2D"/>
    <w:rsid w:val="007A239C"/>
    <w:rsid w:val="007B743D"/>
    <w:rsid w:val="007C6C57"/>
    <w:rsid w:val="007D0C7C"/>
    <w:rsid w:val="007F27BA"/>
    <w:rsid w:val="007F377F"/>
    <w:rsid w:val="008008A2"/>
    <w:rsid w:val="0081664B"/>
    <w:rsid w:val="008205F2"/>
    <w:rsid w:val="00823268"/>
    <w:rsid w:val="00834248"/>
    <w:rsid w:val="008367C0"/>
    <w:rsid w:val="00836E60"/>
    <w:rsid w:val="008461DE"/>
    <w:rsid w:val="0085028B"/>
    <w:rsid w:val="0085127D"/>
    <w:rsid w:val="00870244"/>
    <w:rsid w:val="00870973"/>
    <w:rsid w:val="00875B48"/>
    <w:rsid w:val="00876BD8"/>
    <w:rsid w:val="008814B4"/>
    <w:rsid w:val="00886425"/>
    <w:rsid w:val="00893A17"/>
    <w:rsid w:val="008952D5"/>
    <w:rsid w:val="008C7722"/>
    <w:rsid w:val="008D5238"/>
    <w:rsid w:val="008F02E0"/>
    <w:rsid w:val="008F4E3C"/>
    <w:rsid w:val="009022CD"/>
    <w:rsid w:val="009328ED"/>
    <w:rsid w:val="00933230"/>
    <w:rsid w:val="00944B0C"/>
    <w:rsid w:val="00956F66"/>
    <w:rsid w:val="00975958"/>
    <w:rsid w:val="00992A95"/>
    <w:rsid w:val="00993D48"/>
    <w:rsid w:val="00995F8C"/>
    <w:rsid w:val="009A4554"/>
    <w:rsid w:val="009C44C8"/>
    <w:rsid w:val="009D19E1"/>
    <w:rsid w:val="009F7F78"/>
    <w:rsid w:val="00A06BE7"/>
    <w:rsid w:val="00A17710"/>
    <w:rsid w:val="00A225D5"/>
    <w:rsid w:val="00A23B14"/>
    <w:rsid w:val="00A2694A"/>
    <w:rsid w:val="00A65CD7"/>
    <w:rsid w:val="00A7604E"/>
    <w:rsid w:val="00A77A40"/>
    <w:rsid w:val="00A8043F"/>
    <w:rsid w:val="00A93D10"/>
    <w:rsid w:val="00A976B0"/>
    <w:rsid w:val="00AC2BA0"/>
    <w:rsid w:val="00AC77CD"/>
    <w:rsid w:val="00AD05A5"/>
    <w:rsid w:val="00AD517C"/>
    <w:rsid w:val="00AE7C81"/>
    <w:rsid w:val="00AF2781"/>
    <w:rsid w:val="00B078AC"/>
    <w:rsid w:val="00B242C9"/>
    <w:rsid w:val="00B33086"/>
    <w:rsid w:val="00B35DEA"/>
    <w:rsid w:val="00B377D4"/>
    <w:rsid w:val="00B46DF0"/>
    <w:rsid w:val="00B4701B"/>
    <w:rsid w:val="00B579F4"/>
    <w:rsid w:val="00B637D4"/>
    <w:rsid w:val="00B729B4"/>
    <w:rsid w:val="00B82107"/>
    <w:rsid w:val="00B86B18"/>
    <w:rsid w:val="00B86FA7"/>
    <w:rsid w:val="00B905EB"/>
    <w:rsid w:val="00BA4C1A"/>
    <w:rsid w:val="00BD082C"/>
    <w:rsid w:val="00BD2778"/>
    <w:rsid w:val="00BD311F"/>
    <w:rsid w:val="00C02BF5"/>
    <w:rsid w:val="00C12323"/>
    <w:rsid w:val="00C16CD2"/>
    <w:rsid w:val="00C22B9B"/>
    <w:rsid w:val="00C31C45"/>
    <w:rsid w:val="00C3543C"/>
    <w:rsid w:val="00C375E9"/>
    <w:rsid w:val="00C456D2"/>
    <w:rsid w:val="00C50147"/>
    <w:rsid w:val="00C56C31"/>
    <w:rsid w:val="00C65109"/>
    <w:rsid w:val="00C67A57"/>
    <w:rsid w:val="00C76257"/>
    <w:rsid w:val="00CE2C55"/>
    <w:rsid w:val="00CE60BF"/>
    <w:rsid w:val="00CF0DD0"/>
    <w:rsid w:val="00CF1893"/>
    <w:rsid w:val="00CF2F43"/>
    <w:rsid w:val="00D13299"/>
    <w:rsid w:val="00D30896"/>
    <w:rsid w:val="00D41B4F"/>
    <w:rsid w:val="00D47093"/>
    <w:rsid w:val="00D55887"/>
    <w:rsid w:val="00D55AB0"/>
    <w:rsid w:val="00D61AE7"/>
    <w:rsid w:val="00D62974"/>
    <w:rsid w:val="00D80796"/>
    <w:rsid w:val="00DA06FC"/>
    <w:rsid w:val="00DB17E9"/>
    <w:rsid w:val="00DC1A53"/>
    <w:rsid w:val="00DC46EF"/>
    <w:rsid w:val="00DD203E"/>
    <w:rsid w:val="00DF7DF9"/>
    <w:rsid w:val="00E052AA"/>
    <w:rsid w:val="00E36B5C"/>
    <w:rsid w:val="00E36B6A"/>
    <w:rsid w:val="00E55EF9"/>
    <w:rsid w:val="00E57D62"/>
    <w:rsid w:val="00E74FED"/>
    <w:rsid w:val="00E75B48"/>
    <w:rsid w:val="00E772FD"/>
    <w:rsid w:val="00E93617"/>
    <w:rsid w:val="00E95706"/>
    <w:rsid w:val="00E9738D"/>
    <w:rsid w:val="00E97AF4"/>
    <w:rsid w:val="00EA1F98"/>
    <w:rsid w:val="00EA5CB1"/>
    <w:rsid w:val="00EA7EC7"/>
    <w:rsid w:val="00EB108C"/>
    <w:rsid w:val="00EC7F68"/>
    <w:rsid w:val="00ED3DAB"/>
    <w:rsid w:val="00ED5D06"/>
    <w:rsid w:val="00EF24A1"/>
    <w:rsid w:val="00EF3A1E"/>
    <w:rsid w:val="00F13A1D"/>
    <w:rsid w:val="00F16DBA"/>
    <w:rsid w:val="00F17AA6"/>
    <w:rsid w:val="00F309D8"/>
    <w:rsid w:val="00F317C9"/>
    <w:rsid w:val="00F46ABC"/>
    <w:rsid w:val="00F602FD"/>
    <w:rsid w:val="00F7066D"/>
    <w:rsid w:val="00F8702D"/>
    <w:rsid w:val="00F93050"/>
    <w:rsid w:val="00F967D8"/>
    <w:rsid w:val="00FB723B"/>
    <w:rsid w:val="00FC4E7C"/>
    <w:rsid w:val="00FC5BB7"/>
    <w:rsid w:val="00FD06F2"/>
    <w:rsid w:val="00FD3F72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498DFB"/>
  <w15:chartTrackingRefBased/>
  <w15:docId w15:val="{46D0CA46-4DD2-CD44-B8A0-0A960178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F72"/>
    <w:rPr>
      <w:color w:val="954F72" w:themeColor="followedHyperlink"/>
      <w:u w:val="single"/>
    </w:rPr>
  </w:style>
  <w:style w:type="paragraph" w:customStyle="1" w:styleId="sc-eerkob">
    <w:name w:val="sc-eerkob"/>
    <w:basedOn w:val="Normal"/>
    <w:rsid w:val="00E9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C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4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4C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08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73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92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7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4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33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cbi.nlm.nih.gov/pubmed/108274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5376-C3D5-B947-852F-79E2BA45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Links>
    <vt:vector size="6" baseType="variant">
      <vt:variant>
        <vt:i4>3866656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http://www.ncbi.nlm.nih.gov/pubmed/10827456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Littman</dc:creator>
  <cp:keywords/>
  <dc:description/>
  <cp:lastModifiedBy>Erica Ann Littman</cp:lastModifiedBy>
  <cp:revision>2</cp:revision>
  <dcterms:created xsi:type="dcterms:W3CDTF">2019-10-13T19:24:00Z</dcterms:created>
  <dcterms:modified xsi:type="dcterms:W3CDTF">2019-10-13T19:24:00Z</dcterms:modified>
</cp:coreProperties>
</file>