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F0774" w14:textId="632A08DC" w:rsidR="000D5D89" w:rsidRPr="008D15C7" w:rsidRDefault="00381B1E" w:rsidP="008D15C7">
      <w:pPr>
        <w:snapToGrid w:val="0"/>
        <w:spacing w:line="240" w:lineRule="auto"/>
        <w:contextualSpacing/>
        <w:rPr>
          <w:rFonts w:ascii="Times New Roman" w:hAnsi="Times New Roman" w:cs="Times New Roman"/>
          <w:sz w:val="24"/>
          <w:szCs w:val="24"/>
        </w:rPr>
      </w:pPr>
      <w:bookmarkStart w:id="0" w:name="_GoBack"/>
      <w:bookmarkEnd w:id="0"/>
      <w:r w:rsidRPr="008D15C7">
        <w:rPr>
          <w:rFonts w:ascii="Times New Roman" w:hAnsi="Times New Roman" w:cs="Times New Roman"/>
          <w:sz w:val="24"/>
          <w:szCs w:val="24"/>
        </w:rPr>
        <w:tab/>
      </w:r>
      <w:r w:rsidR="00AD0758" w:rsidRPr="008D15C7">
        <w:rPr>
          <w:rFonts w:ascii="Times New Roman" w:hAnsi="Times New Roman" w:cs="Times New Roman"/>
          <w:sz w:val="24"/>
          <w:szCs w:val="24"/>
        </w:rPr>
        <w:t xml:space="preserve">In the bacteria </w:t>
      </w:r>
      <w:r w:rsidR="008A05D8" w:rsidRPr="008D15C7">
        <w:rPr>
          <w:rFonts w:ascii="Times New Roman" w:hAnsi="Times New Roman" w:cs="Times New Roman"/>
          <w:i/>
          <w:sz w:val="24"/>
          <w:szCs w:val="24"/>
        </w:rPr>
        <w:t>Pseudomonas aeruginosa</w:t>
      </w:r>
      <w:r w:rsidR="008A05D8" w:rsidRPr="008D15C7">
        <w:rPr>
          <w:rFonts w:ascii="Times New Roman" w:hAnsi="Times New Roman" w:cs="Times New Roman"/>
          <w:sz w:val="24"/>
          <w:szCs w:val="24"/>
        </w:rPr>
        <w:t xml:space="preserve">, the </w:t>
      </w:r>
      <w:r w:rsidR="008A05D8" w:rsidRPr="008D15C7">
        <w:rPr>
          <w:rFonts w:ascii="Times New Roman" w:hAnsi="Times New Roman" w:cs="Times New Roman"/>
          <w:i/>
          <w:sz w:val="24"/>
          <w:szCs w:val="24"/>
        </w:rPr>
        <w:t xml:space="preserve">mexAB-oprM </w:t>
      </w:r>
      <w:r w:rsidR="008A05D8" w:rsidRPr="008D15C7">
        <w:rPr>
          <w:rFonts w:ascii="Times New Roman" w:hAnsi="Times New Roman" w:cs="Times New Roman"/>
          <w:sz w:val="24"/>
          <w:szCs w:val="24"/>
        </w:rPr>
        <w:t>operon encodes for an efflux pump that is responsible for</w:t>
      </w:r>
      <w:r w:rsidR="00172C56" w:rsidRPr="008D15C7">
        <w:rPr>
          <w:rFonts w:ascii="Times New Roman" w:hAnsi="Times New Roman" w:cs="Times New Roman"/>
          <w:sz w:val="24"/>
          <w:szCs w:val="24"/>
        </w:rPr>
        <w:t xml:space="preserve"> </w:t>
      </w:r>
      <w:r w:rsidR="005B7B06" w:rsidRPr="008D15C7">
        <w:rPr>
          <w:rFonts w:ascii="Times New Roman" w:hAnsi="Times New Roman" w:cs="Times New Roman"/>
          <w:sz w:val="24"/>
          <w:szCs w:val="24"/>
        </w:rPr>
        <w:t xml:space="preserve">resistance </w:t>
      </w:r>
      <w:r w:rsidR="005B7B06">
        <w:rPr>
          <w:rFonts w:ascii="Times New Roman" w:hAnsi="Times New Roman" w:cs="Times New Roman"/>
          <w:sz w:val="24"/>
          <w:szCs w:val="24"/>
        </w:rPr>
        <w:t xml:space="preserve">to </w:t>
      </w:r>
      <w:r w:rsidR="00172C56" w:rsidRPr="008D15C7">
        <w:rPr>
          <w:rFonts w:ascii="Times New Roman" w:hAnsi="Times New Roman" w:cs="Times New Roman"/>
          <w:sz w:val="24"/>
          <w:szCs w:val="24"/>
        </w:rPr>
        <w:t>multiple</w:t>
      </w:r>
      <w:r w:rsidR="008A05D8" w:rsidRPr="008D15C7">
        <w:rPr>
          <w:rFonts w:ascii="Times New Roman" w:hAnsi="Times New Roman" w:cs="Times New Roman"/>
          <w:sz w:val="24"/>
          <w:szCs w:val="24"/>
        </w:rPr>
        <w:t xml:space="preserve"> </w:t>
      </w:r>
      <w:r w:rsidR="00172C56" w:rsidRPr="008D15C7">
        <w:rPr>
          <w:rFonts w:ascii="Times New Roman" w:hAnsi="Times New Roman" w:cs="Times New Roman"/>
          <w:sz w:val="24"/>
          <w:szCs w:val="24"/>
        </w:rPr>
        <w:t>antimicrobial</w:t>
      </w:r>
      <w:r w:rsidR="005B7B06">
        <w:rPr>
          <w:rFonts w:ascii="Times New Roman" w:hAnsi="Times New Roman" w:cs="Times New Roman"/>
          <w:sz w:val="24"/>
          <w:szCs w:val="24"/>
        </w:rPr>
        <w:t>s</w:t>
      </w:r>
      <w:r w:rsidR="008A05D8" w:rsidRPr="008D15C7">
        <w:rPr>
          <w:rFonts w:ascii="Times New Roman" w:hAnsi="Times New Roman" w:cs="Times New Roman"/>
          <w:sz w:val="24"/>
          <w:szCs w:val="24"/>
        </w:rPr>
        <w:t xml:space="preserve"> </w:t>
      </w:r>
      <w:r w:rsidR="00886AB1" w:rsidRPr="008D15C7">
        <w:rPr>
          <w:rFonts w:ascii="Times New Roman" w:hAnsi="Times New Roman" w:cs="Times New Roman"/>
          <w:sz w:val="24"/>
          <w:szCs w:val="24"/>
        </w:rPr>
        <w:t>(</w:t>
      </w:r>
      <w:r w:rsidR="00FB1130" w:rsidRPr="008D15C7">
        <w:rPr>
          <w:rFonts w:ascii="Times New Roman" w:hAnsi="Times New Roman" w:cs="Times New Roman"/>
          <w:sz w:val="24"/>
          <w:szCs w:val="24"/>
        </w:rPr>
        <w:t xml:space="preserve">1). </w:t>
      </w:r>
      <w:r w:rsidR="00443EA0" w:rsidRPr="008D15C7">
        <w:rPr>
          <w:rFonts w:ascii="Times New Roman" w:hAnsi="Times New Roman" w:cs="Times New Roman"/>
          <w:sz w:val="24"/>
          <w:szCs w:val="24"/>
        </w:rPr>
        <w:t>The efflux pump</w:t>
      </w:r>
      <w:r w:rsidR="003A2B82" w:rsidRPr="008D15C7">
        <w:rPr>
          <w:rFonts w:ascii="Times New Roman" w:hAnsi="Times New Roman" w:cs="Times New Roman"/>
          <w:sz w:val="24"/>
          <w:szCs w:val="24"/>
        </w:rPr>
        <w:t xml:space="preserve"> consists of </w:t>
      </w:r>
      <w:r w:rsidR="00DC6885" w:rsidRPr="008D15C7">
        <w:rPr>
          <w:rFonts w:ascii="Times New Roman" w:hAnsi="Times New Roman" w:cs="Times New Roman"/>
          <w:sz w:val="24"/>
          <w:szCs w:val="24"/>
        </w:rPr>
        <w:t>the inner membrane protein</w:t>
      </w:r>
      <w:r w:rsidR="003A2B82" w:rsidRPr="008D15C7">
        <w:rPr>
          <w:rFonts w:ascii="Times New Roman" w:hAnsi="Times New Roman" w:cs="Times New Roman"/>
          <w:sz w:val="24"/>
          <w:szCs w:val="24"/>
        </w:rPr>
        <w:t xml:space="preserve"> MexB</w:t>
      </w:r>
      <w:r w:rsidR="00DC6885" w:rsidRPr="008D15C7">
        <w:rPr>
          <w:rFonts w:ascii="Times New Roman" w:hAnsi="Times New Roman" w:cs="Times New Roman"/>
          <w:sz w:val="24"/>
          <w:szCs w:val="24"/>
        </w:rPr>
        <w:t>, the periplasmic adaptor protein MexA, and the outer</w:t>
      </w:r>
      <w:r w:rsidR="00BE0882" w:rsidRPr="008D15C7">
        <w:rPr>
          <w:rFonts w:ascii="Times New Roman" w:hAnsi="Times New Roman" w:cs="Times New Roman"/>
          <w:sz w:val="24"/>
          <w:szCs w:val="24"/>
        </w:rPr>
        <w:t xml:space="preserve"> </w:t>
      </w:r>
      <w:r w:rsidR="00DC6885" w:rsidRPr="008D15C7">
        <w:rPr>
          <w:rFonts w:ascii="Times New Roman" w:hAnsi="Times New Roman" w:cs="Times New Roman"/>
          <w:sz w:val="24"/>
          <w:szCs w:val="24"/>
        </w:rPr>
        <w:t xml:space="preserve">membrane protein OprM </w:t>
      </w:r>
      <w:r w:rsidR="007707B6" w:rsidRPr="008D15C7">
        <w:rPr>
          <w:rFonts w:ascii="Times New Roman" w:hAnsi="Times New Roman" w:cs="Times New Roman"/>
          <w:sz w:val="24"/>
          <w:szCs w:val="24"/>
        </w:rPr>
        <w:t xml:space="preserve">(2). </w:t>
      </w:r>
      <w:r w:rsidR="00254CF7" w:rsidRPr="008D15C7">
        <w:rPr>
          <w:rFonts w:ascii="Times New Roman" w:hAnsi="Times New Roman" w:cs="Times New Roman"/>
          <w:sz w:val="24"/>
          <w:szCs w:val="24"/>
        </w:rPr>
        <w:t xml:space="preserve">In addition to being found in </w:t>
      </w:r>
      <w:r w:rsidR="00254CF7" w:rsidRPr="008D15C7">
        <w:rPr>
          <w:rFonts w:ascii="Times New Roman" w:hAnsi="Times New Roman" w:cs="Times New Roman"/>
          <w:i/>
          <w:sz w:val="24"/>
          <w:szCs w:val="24"/>
        </w:rPr>
        <w:t>P. aeruginosa</w:t>
      </w:r>
      <w:r w:rsidR="00254CF7" w:rsidRPr="008D15C7">
        <w:rPr>
          <w:rFonts w:ascii="Times New Roman" w:hAnsi="Times New Roman" w:cs="Times New Roman"/>
          <w:sz w:val="24"/>
          <w:szCs w:val="24"/>
        </w:rPr>
        <w:t xml:space="preserve">, </w:t>
      </w:r>
      <w:r w:rsidR="00DC6885" w:rsidRPr="008D15C7">
        <w:rPr>
          <w:rFonts w:ascii="Times New Roman" w:hAnsi="Times New Roman" w:cs="Times New Roman"/>
          <w:sz w:val="24"/>
          <w:szCs w:val="24"/>
        </w:rPr>
        <w:t>homologs</w:t>
      </w:r>
      <w:r w:rsidR="00254CF7" w:rsidRPr="008D15C7">
        <w:rPr>
          <w:rFonts w:ascii="Times New Roman" w:hAnsi="Times New Roman" w:cs="Times New Roman"/>
          <w:sz w:val="24"/>
          <w:szCs w:val="24"/>
        </w:rPr>
        <w:t xml:space="preserve"> of proton-dependent efflux pumps exist in </w:t>
      </w:r>
      <w:r w:rsidR="00C05045" w:rsidRPr="008D15C7">
        <w:rPr>
          <w:rFonts w:ascii="Times New Roman" w:hAnsi="Times New Roman" w:cs="Times New Roman"/>
          <w:sz w:val="24"/>
          <w:szCs w:val="24"/>
        </w:rPr>
        <w:t>distantly related</w:t>
      </w:r>
      <w:r w:rsidR="00F30A18" w:rsidRPr="008D15C7">
        <w:rPr>
          <w:rFonts w:ascii="Times New Roman" w:hAnsi="Times New Roman" w:cs="Times New Roman"/>
          <w:sz w:val="24"/>
          <w:szCs w:val="24"/>
        </w:rPr>
        <w:t xml:space="preserve"> bacteria such as </w:t>
      </w:r>
      <w:r w:rsidR="006C35FB" w:rsidRPr="008D15C7">
        <w:rPr>
          <w:rFonts w:ascii="Times New Roman" w:hAnsi="Times New Roman" w:cs="Times New Roman"/>
          <w:i/>
          <w:sz w:val="24"/>
          <w:szCs w:val="24"/>
        </w:rPr>
        <w:t xml:space="preserve">Escherichia </w:t>
      </w:r>
      <w:r w:rsidR="00F30A18" w:rsidRPr="008D15C7">
        <w:rPr>
          <w:rFonts w:ascii="Times New Roman" w:hAnsi="Times New Roman" w:cs="Times New Roman"/>
          <w:i/>
          <w:sz w:val="24"/>
          <w:szCs w:val="24"/>
        </w:rPr>
        <w:t>coli</w:t>
      </w:r>
      <w:r w:rsidR="00F30A18" w:rsidRPr="008D15C7">
        <w:rPr>
          <w:rFonts w:ascii="Times New Roman" w:hAnsi="Times New Roman" w:cs="Times New Roman"/>
          <w:sz w:val="24"/>
          <w:szCs w:val="24"/>
        </w:rPr>
        <w:t xml:space="preserve">, as well as in different strains of </w:t>
      </w:r>
      <w:r w:rsidR="00F30A18" w:rsidRPr="008D15C7">
        <w:rPr>
          <w:rFonts w:ascii="Times New Roman" w:hAnsi="Times New Roman" w:cs="Times New Roman"/>
          <w:i/>
          <w:sz w:val="24"/>
          <w:szCs w:val="24"/>
        </w:rPr>
        <w:t>Pseudomonas</w:t>
      </w:r>
      <w:r w:rsidR="00A93B57" w:rsidRPr="008D15C7">
        <w:rPr>
          <w:rFonts w:ascii="Times New Roman" w:hAnsi="Times New Roman" w:cs="Times New Roman"/>
          <w:sz w:val="24"/>
          <w:szCs w:val="24"/>
        </w:rPr>
        <w:t xml:space="preserve"> (3,4).</w:t>
      </w:r>
      <w:r w:rsidR="007E1DA2" w:rsidRPr="008D15C7">
        <w:rPr>
          <w:rFonts w:ascii="Times New Roman" w:hAnsi="Times New Roman" w:cs="Times New Roman"/>
          <w:sz w:val="24"/>
          <w:szCs w:val="24"/>
        </w:rPr>
        <w:t xml:space="preserve"> </w:t>
      </w:r>
      <w:r w:rsidR="00A45CFE" w:rsidRPr="008D15C7">
        <w:rPr>
          <w:rFonts w:ascii="Times New Roman" w:hAnsi="Times New Roman" w:cs="Times New Roman"/>
          <w:sz w:val="24"/>
          <w:szCs w:val="24"/>
        </w:rPr>
        <w:t>Multiple</w:t>
      </w:r>
      <w:r w:rsidR="007E1DA2" w:rsidRPr="008D15C7">
        <w:rPr>
          <w:rFonts w:ascii="Times New Roman" w:hAnsi="Times New Roman" w:cs="Times New Roman"/>
          <w:sz w:val="24"/>
          <w:szCs w:val="24"/>
        </w:rPr>
        <w:t xml:space="preserve"> MexAB-OprM homologs are found in a single genome and are expressed in a context</w:t>
      </w:r>
      <w:r w:rsidR="008539F1" w:rsidRPr="008D15C7">
        <w:rPr>
          <w:rFonts w:ascii="Times New Roman" w:hAnsi="Times New Roman" w:cs="Times New Roman"/>
          <w:sz w:val="24"/>
          <w:szCs w:val="24"/>
        </w:rPr>
        <w:t>-</w:t>
      </w:r>
      <w:r w:rsidR="007E1DA2" w:rsidRPr="008D15C7">
        <w:rPr>
          <w:rFonts w:ascii="Times New Roman" w:hAnsi="Times New Roman" w:cs="Times New Roman"/>
          <w:sz w:val="24"/>
          <w:szCs w:val="24"/>
        </w:rPr>
        <w:t xml:space="preserve">dependent manner. The exception in </w:t>
      </w:r>
      <w:r w:rsidR="007E1DA2" w:rsidRPr="008D15C7">
        <w:rPr>
          <w:rFonts w:ascii="Times New Roman" w:hAnsi="Times New Roman" w:cs="Times New Roman"/>
          <w:i/>
          <w:sz w:val="24"/>
          <w:szCs w:val="24"/>
        </w:rPr>
        <w:t>P. aeruginosa</w:t>
      </w:r>
      <w:r w:rsidR="007E1DA2" w:rsidRPr="008D15C7">
        <w:rPr>
          <w:rFonts w:ascii="Times New Roman" w:hAnsi="Times New Roman" w:cs="Times New Roman"/>
          <w:sz w:val="24"/>
          <w:szCs w:val="24"/>
        </w:rPr>
        <w:t xml:space="preserve"> is MexAB-OprM itself</w:t>
      </w:r>
      <w:r w:rsidR="005B7B06">
        <w:rPr>
          <w:rFonts w:ascii="Times New Roman" w:hAnsi="Times New Roman" w:cs="Times New Roman"/>
          <w:sz w:val="24"/>
          <w:szCs w:val="24"/>
        </w:rPr>
        <w:t>,</w:t>
      </w:r>
      <w:r w:rsidR="007E1DA2" w:rsidRPr="008D15C7">
        <w:rPr>
          <w:rFonts w:ascii="Times New Roman" w:hAnsi="Times New Roman" w:cs="Times New Roman"/>
          <w:sz w:val="24"/>
          <w:szCs w:val="24"/>
        </w:rPr>
        <w:t xml:space="preserve"> which is constitutively expressed during its growth phase and represents one of the first lines of defense against </w:t>
      </w:r>
      <w:r w:rsidR="00307E5F" w:rsidRPr="008D15C7">
        <w:rPr>
          <w:rFonts w:ascii="Times New Roman" w:hAnsi="Times New Roman" w:cs="Times New Roman"/>
          <w:sz w:val="24"/>
          <w:szCs w:val="24"/>
        </w:rPr>
        <w:t xml:space="preserve">antimicrobials. </w:t>
      </w:r>
      <w:r w:rsidR="000D5D89" w:rsidRPr="008D15C7">
        <w:rPr>
          <w:rFonts w:ascii="Times New Roman" w:hAnsi="Times New Roman" w:cs="Times New Roman"/>
          <w:sz w:val="24"/>
          <w:szCs w:val="24"/>
        </w:rPr>
        <w:t>Mutations in the</w:t>
      </w:r>
      <w:r w:rsidR="00AB34C4" w:rsidRPr="008D15C7">
        <w:rPr>
          <w:rFonts w:ascii="Times New Roman" w:hAnsi="Times New Roman" w:cs="Times New Roman"/>
          <w:sz w:val="24"/>
          <w:szCs w:val="24"/>
        </w:rPr>
        <w:t xml:space="preserve"> upstream</w:t>
      </w:r>
      <w:r w:rsidR="000D5D89" w:rsidRPr="008D15C7">
        <w:rPr>
          <w:rFonts w:ascii="Times New Roman" w:hAnsi="Times New Roman" w:cs="Times New Roman"/>
          <w:sz w:val="24"/>
          <w:szCs w:val="24"/>
        </w:rPr>
        <w:t xml:space="preserve"> proximal regulator MexR and other regulators can lead to high levels of MexAB-OprM expression</w:t>
      </w:r>
      <w:r w:rsidR="000A74D9" w:rsidRPr="008D15C7">
        <w:rPr>
          <w:rFonts w:ascii="Times New Roman" w:hAnsi="Times New Roman" w:cs="Times New Roman"/>
          <w:sz w:val="24"/>
          <w:szCs w:val="24"/>
        </w:rPr>
        <w:t>,</w:t>
      </w:r>
      <w:r w:rsidR="000D5D89" w:rsidRPr="008D15C7">
        <w:rPr>
          <w:rFonts w:ascii="Times New Roman" w:hAnsi="Times New Roman" w:cs="Times New Roman"/>
          <w:sz w:val="24"/>
          <w:szCs w:val="24"/>
        </w:rPr>
        <w:t xml:space="preserve"> resulting in a concomitant increase in resistance to antimicrobials.</w:t>
      </w:r>
      <w:r w:rsidR="00B513C7" w:rsidRPr="008D15C7">
        <w:rPr>
          <w:rFonts w:ascii="Times New Roman" w:hAnsi="Times New Roman" w:cs="Times New Roman"/>
          <w:sz w:val="24"/>
          <w:szCs w:val="24"/>
        </w:rPr>
        <w:t xml:space="preserve"> Additionally, the proximal regulator can also be activated or repressed by certain </w:t>
      </w:r>
      <w:r w:rsidR="005B7B06">
        <w:rPr>
          <w:rFonts w:ascii="Times New Roman" w:hAnsi="Times New Roman" w:cs="Times New Roman"/>
          <w:sz w:val="24"/>
          <w:szCs w:val="24"/>
        </w:rPr>
        <w:t>antimicrobials and other compounds</w:t>
      </w:r>
      <w:r w:rsidR="00B513C7" w:rsidRPr="008D15C7">
        <w:rPr>
          <w:rFonts w:ascii="Times New Roman" w:hAnsi="Times New Roman" w:cs="Times New Roman"/>
          <w:sz w:val="24"/>
          <w:szCs w:val="24"/>
        </w:rPr>
        <w:t>, further modifying expression.</w:t>
      </w:r>
      <w:r w:rsidR="007E1DA2" w:rsidRPr="008D15C7">
        <w:rPr>
          <w:rFonts w:ascii="Times New Roman" w:hAnsi="Times New Roman" w:cs="Times New Roman"/>
          <w:sz w:val="24"/>
          <w:szCs w:val="24"/>
        </w:rPr>
        <w:t xml:space="preserve"> </w:t>
      </w:r>
      <w:r w:rsidR="008539F1" w:rsidRPr="008D15C7">
        <w:rPr>
          <w:rFonts w:ascii="Times New Roman" w:hAnsi="Times New Roman" w:cs="Times New Roman"/>
          <w:sz w:val="24"/>
          <w:szCs w:val="24"/>
        </w:rPr>
        <w:t xml:space="preserve">Bioinformatic analysis of closely related </w:t>
      </w:r>
      <w:r w:rsidR="008539F1" w:rsidRPr="008D15C7">
        <w:rPr>
          <w:rFonts w:ascii="Times New Roman" w:hAnsi="Times New Roman" w:cs="Times New Roman"/>
          <w:i/>
          <w:sz w:val="24"/>
          <w:szCs w:val="24"/>
        </w:rPr>
        <w:t>Pseudomonas</w:t>
      </w:r>
      <w:r w:rsidR="008539F1" w:rsidRPr="008D15C7">
        <w:rPr>
          <w:rFonts w:ascii="Times New Roman" w:hAnsi="Times New Roman" w:cs="Times New Roman"/>
          <w:sz w:val="24"/>
          <w:szCs w:val="24"/>
        </w:rPr>
        <w:t xml:space="preserve"> species ha</w:t>
      </w:r>
      <w:r w:rsidR="00AB34C4" w:rsidRPr="008D15C7">
        <w:rPr>
          <w:rFonts w:ascii="Times New Roman" w:hAnsi="Times New Roman" w:cs="Times New Roman"/>
          <w:sz w:val="24"/>
          <w:szCs w:val="24"/>
        </w:rPr>
        <w:t>ve</w:t>
      </w:r>
      <w:r w:rsidR="008539F1" w:rsidRPr="008D15C7">
        <w:rPr>
          <w:rFonts w:ascii="Times New Roman" w:hAnsi="Times New Roman" w:cs="Times New Roman"/>
          <w:sz w:val="24"/>
          <w:szCs w:val="24"/>
        </w:rPr>
        <w:t xml:space="preserve"> shown that the MexAB-OprM </w:t>
      </w:r>
      <w:r w:rsidR="00B513C7" w:rsidRPr="008D15C7">
        <w:rPr>
          <w:rFonts w:ascii="Times New Roman" w:hAnsi="Times New Roman" w:cs="Times New Roman"/>
          <w:sz w:val="24"/>
          <w:szCs w:val="24"/>
        </w:rPr>
        <w:t xml:space="preserve">homolog with the highest identity and similarity to MexAB-OprM </w:t>
      </w:r>
      <w:r w:rsidR="005A0C2A" w:rsidRPr="008D15C7">
        <w:rPr>
          <w:rFonts w:ascii="Times New Roman" w:hAnsi="Times New Roman" w:cs="Times New Roman"/>
          <w:sz w:val="24"/>
          <w:szCs w:val="24"/>
        </w:rPr>
        <w:t>can have proximal regulators that are of a different family</w:t>
      </w:r>
      <w:r w:rsidR="00CE4685" w:rsidRPr="008D15C7">
        <w:rPr>
          <w:rFonts w:ascii="Times New Roman" w:hAnsi="Times New Roman" w:cs="Times New Roman"/>
          <w:sz w:val="24"/>
          <w:szCs w:val="24"/>
        </w:rPr>
        <w:t xml:space="preserve"> </w:t>
      </w:r>
      <w:r w:rsidR="00F97F79" w:rsidRPr="008D15C7">
        <w:rPr>
          <w:rFonts w:ascii="Times New Roman" w:hAnsi="Times New Roman" w:cs="Times New Roman"/>
          <w:sz w:val="24"/>
          <w:szCs w:val="24"/>
        </w:rPr>
        <w:t xml:space="preserve">but still be constitutively expressed. Recently, we identified a MexAB-OprM homolog in </w:t>
      </w:r>
      <w:r w:rsidR="00F97F79" w:rsidRPr="008D15C7">
        <w:rPr>
          <w:rFonts w:ascii="Times New Roman" w:hAnsi="Times New Roman" w:cs="Times New Roman"/>
          <w:i/>
          <w:sz w:val="24"/>
          <w:szCs w:val="24"/>
        </w:rPr>
        <w:t>P. stutzeri</w:t>
      </w:r>
      <w:r w:rsidR="00F97F79" w:rsidRPr="008D15C7">
        <w:rPr>
          <w:rFonts w:ascii="Times New Roman" w:hAnsi="Times New Roman" w:cs="Times New Roman"/>
          <w:sz w:val="24"/>
          <w:szCs w:val="24"/>
        </w:rPr>
        <w:t xml:space="preserve"> with the highest identity to MexAB-OprM that did not contain a proximal regulator. </w:t>
      </w:r>
      <w:r w:rsidR="00C05045" w:rsidRPr="008D15C7">
        <w:rPr>
          <w:rFonts w:ascii="Times New Roman" w:hAnsi="Times New Roman" w:cs="Times New Roman"/>
          <w:sz w:val="24"/>
          <w:szCs w:val="24"/>
        </w:rPr>
        <w:t>My project will be to characterize whether this efflux pump is constitutively expressed</w:t>
      </w:r>
      <w:r w:rsidR="00561652" w:rsidRPr="008D15C7">
        <w:rPr>
          <w:rFonts w:ascii="Times New Roman" w:hAnsi="Times New Roman" w:cs="Times New Roman"/>
          <w:sz w:val="24"/>
          <w:szCs w:val="24"/>
        </w:rPr>
        <w:t xml:space="preserve"> using</w:t>
      </w:r>
      <w:r w:rsidR="005B7B06">
        <w:rPr>
          <w:rFonts w:ascii="Times New Roman" w:hAnsi="Times New Roman" w:cs="Times New Roman"/>
          <w:sz w:val="24"/>
          <w:szCs w:val="24"/>
        </w:rPr>
        <w:t xml:space="preserve"> reverse-transcription PCR</w:t>
      </w:r>
      <w:r w:rsidR="00561652" w:rsidRPr="008D15C7">
        <w:rPr>
          <w:rFonts w:ascii="Times New Roman" w:hAnsi="Times New Roman" w:cs="Times New Roman"/>
          <w:sz w:val="24"/>
          <w:szCs w:val="24"/>
        </w:rPr>
        <w:t xml:space="preserve"> </w:t>
      </w:r>
      <w:r w:rsidR="005B7B06">
        <w:rPr>
          <w:rFonts w:ascii="Times New Roman" w:hAnsi="Times New Roman" w:cs="Times New Roman"/>
          <w:sz w:val="24"/>
          <w:szCs w:val="24"/>
        </w:rPr>
        <w:t>(</w:t>
      </w:r>
      <w:r w:rsidR="00561652" w:rsidRPr="008D15C7">
        <w:rPr>
          <w:rFonts w:ascii="Times New Roman" w:hAnsi="Times New Roman" w:cs="Times New Roman"/>
          <w:sz w:val="24"/>
          <w:szCs w:val="24"/>
        </w:rPr>
        <w:t>RT-PCR</w:t>
      </w:r>
      <w:r w:rsidR="005B7B06">
        <w:rPr>
          <w:rFonts w:ascii="Times New Roman" w:hAnsi="Times New Roman" w:cs="Times New Roman"/>
          <w:sz w:val="24"/>
          <w:szCs w:val="24"/>
        </w:rPr>
        <w:t>)</w:t>
      </w:r>
      <w:r w:rsidR="00C05045" w:rsidRPr="008D15C7">
        <w:rPr>
          <w:rFonts w:ascii="Times New Roman" w:hAnsi="Times New Roman" w:cs="Times New Roman"/>
          <w:sz w:val="24"/>
          <w:szCs w:val="24"/>
        </w:rPr>
        <w:t xml:space="preserve"> and</w:t>
      </w:r>
      <w:r w:rsidR="00561652" w:rsidRPr="008D15C7">
        <w:rPr>
          <w:rFonts w:ascii="Times New Roman" w:hAnsi="Times New Roman" w:cs="Times New Roman"/>
          <w:sz w:val="24"/>
          <w:szCs w:val="24"/>
        </w:rPr>
        <w:t xml:space="preserve"> using gene deletion to</w:t>
      </w:r>
      <w:r w:rsidR="00C05045" w:rsidRPr="008D15C7">
        <w:rPr>
          <w:rFonts w:ascii="Times New Roman" w:hAnsi="Times New Roman" w:cs="Times New Roman"/>
          <w:sz w:val="24"/>
          <w:szCs w:val="24"/>
        </w:rPr>
        <w:t xml:space="preserve"> </w:t>
      </w:r>
      <w:r w:rsidR="00561652" w:rsidRPr="008D15C7">
        <w:rPr>
          <w:rFonts w:ascii="Times New Roman" w:hAnsi="Times New Roman" w:cs="Times New Roman"/>
          <w:sz w:val="24"/>
          <w:szCs w:val="24"/>
        </w:rPr>
        <w:t>test whether it</w:t>
      </w:r>
      <w:r w:rsidR="00C05045" w:rsidRPr="008D15C7">
        <w:rPr>
          <w:rFonts w:ascii="Times New Roman" w:hAnsi="Times New Roman" w:cs="Times New Roman"/>
          <w:sz w:val="24"/>
          <w:szCs w:val="24"/>
        </w:rPr>
        <w:t xml:space="preserve"> effluxes known substrates of </w:t>
      </w:r>
      <w:r w:rsidR="00C05045" w:rsidRPr="008D15C7">
        <w:rPr>
          <w:rFonts w:ascii="Times New Roman" w:hAnsi="Times New Roman" w:cs="Times New Roman"/>
          <w:i/>
          <w:sz w:val="24"/>
          <w:szCs w:val="24"/>
        </w:rPr>
        <w:t>P. aeruginosa</w:t>
      </w:r>
      <w:r w:rsidR="00C05045" w:rsidRPr="008D15C7">
        <w:rPr>
          <w:rFonts w:ascii="Times New Roman" w:hAnsi="Times New Roman" w:cs="Times New Roman"/>
          <w:sz w:val="24"/>
          <w:szCs w:val="24"/>
        </w:rPr>
        <w:t xml:space="preserve"> MexAB-OprM. This work will help to better understand the diversity of </w:t>
      </w:r>
      <w:r w:rsidR="00A45CFE" w:rsidRPr="008D15C7">
        <w:rPr>
          <w:rFonts w:ascii="Times New Roman" w:hAnsi="Times New Roman" w:cs="Times New Roman"/>
          <w:sz w:val="24"/>
          <w:szCs w:val="24"/>
        </w:rPr>
        <w:t xml:space="preserve">constitutive </w:t>
      </w:r>
      <w:r w:rsidR="00C05045" w:rsidRPr="008D15C7">
        <w:rPr>
          <w:rFonts w:ascii="Times New Roman" w:hAnsi="Times New Roman" w:cs="Times New Roman"/>
          <w:sz w:val="24"/>
          <w:szCs w:val="24"/>
        </w:rPr>
        <w:t>efflux pump operon structures</w:t>
      </w:r>
      <w:r w:rsidR="00067608" w:rsidRPr="008D15C7">
        <w:rPr>
          <w:rFonts w:ascii="Times New Roman" w:hAnsi="Times New Roman" w:cs="Times New Roman"/>
          <w:sz w:val="24"/>
          <w:szCs w:val="24"/>
        </w:rPr>
        <w:t xml:space="preserve"> and substrates</w:t>
      </w:r>
      <w:r w:rsidR="00B03123" w:rsidRPr="008D15C7">
        <w:rPr>
          <w:rFonts w:ascii="Times New Roman" w:hAnsi="Times New Roman" w:cs="Times New Roman"/>
          <w:sz w:val="24"/>
          <w:szCs w:val="24"/>
        </w:rPr>
        <w:t xml:space="preserve"> within closely-related species</w:t>
      </w:r>
      <w:r w:rsidR="00C05045" w:rsidRPr="008D15C7">
        <w:rPr>
          <w:rFonts w:ascii="Times New Roman" w:hAnsi="Times New Roman" w:cs="Times New Roman"/>
          <w:sz w:val="24"/>
          <w:szCs w:val="24"/>
        </w:rPr>
        <w:t xml:space="preserve"> </w:t>
      </w:r>
      <w:r w:rsidR="00561652" w:rsidRPr="008D15C7">
        <w:rPr>
          <w:rFonts w:ascii="Times New Roman" w:hAnsi="Times New Roman" w:cs="Times New Roman"/>
          <w:sz w:val="24"/>
          <w:szCs w:val="24"/>
        </w:rPr>
        <w:t>and</w:t>
      </w:r>
      <w:r w:rsidR="006829D3" w:rsidRPr="008D15C7">
        <w:rPr>
          <w:rFonts w:ascii="Times New Roman" w:hAnsi="Times New Roman" w:cs="Times New Roman"/>
          <w:sz w:val="24"/>
          <w:szCs w:val="24"/>
        </w:rPr>
        <w:t xml:space="preserve"> potentially</w:t>
      </w:r>
      <w:r w:rsidR="00561652" w:rsidRPr="008D15C7">
        <w:rPr>
          <w:rFonts w:ascii="Times New Roman" w:hAnsi="Times New Roman" w:cs="Times New Roman"/>
          <w:sz w:val="24"/>
          <w:szCs w:val="24"/>
        </w:rPr>
        <w:t xml:space="preserve"> lead to future studies identifying </w:t>
      </w:r>
      <w:r w:rsidR="00A45CFE" w:rsidRPr="008D15C7">
        <w:rPr>
          <w:rFonts w:ascii="Times New Roman" w:hAnsi="Times New Roman" w:cs="Times New Roman"/>
          <w:sz w:val="24"/>
          <w:szCs w:val="24"/>
        </w:rPr>
        <w:t>their</w:t>
      </w:r>
      <w:r w:rsidR="00561652" w:rsidRPr="008D15C7">
        <w:rPr>
          <w:rFonts w:ascii="Times New Roman" w:hAnsi="Times New Roman" w:cs="Times New Roman"/>
          <w:sz w:val="24"/>
          <w:szCs w:val="24"/>
        </w:rPr>
        <w:t xml:space="preserve"> regulator(s).</w:t>
      </w:r>
    </w:p>
    <w:p w14:paraId="698D2DB7" w14:textId="5EA2DBED" w:rsidR="00CA732E" w:rsidRPr="008D15C7" w:rsidRDefault="002839BB" w:rsidP="008D15C7">
      <w:pPr>
        <w:shd w:val="clear" w:color="auto" w:fill="FFFFFF"/>
        <w:tabs>
          <w:tab w:val="num" w:pos="720"/>
        </w:tabs>
        <w:snapToGrid w:val="0"/>
        <w:spacing w:after="0" w:line="240" w:lineRule="auto"/>
        <w:contextualSpacing/>
        <w:rPr>
          <w:rFonts w:ascii="Times New Roman" w:hAnsi="Times New Roman" w:cs="Times New Roman"/>
          <w:sz w:val="24"/>
          <w:szCs w:val="24"/>
        </w:rPr>
      </w:pPr>
      <w:r w:rsidRPr="008D15C7">
        <w:rPr>
          <w:rFonts w:ascii="Times New Roman" w:hAnsi="Times New Roman" w:cs="Times New Roman"/>
          <w:sz w:val="24"/>
          <w:szCs w:val="24"/>
        </w:rPr>
        <w:tab/>
      </w:r>
      <w:r w:rsidR="000A5741" w:rsidRPr="008D15C7">
        <w:rPr>
          <w:rFonts w:ascii="Times New Roman" w:hAnsi="Times New Roman" w:cs="Times New Roman"/>
          <w:sz w:val="24"/>
          <w:szCs w:val="24"/>
        </w:rPr>
        <w:t xml:space="preserve">The first step in my project will be to isolate </w:t>
      </w:r>
      <w:r w:rsidR="00B56AFD" w:rsidRPr="008D15C7">
        <w:rPr>
          <w:rFonts w:ascii="Times New Roman" w:hAnsi="Times New Roman" w:cs="Times New Roman"/>
          <w:sz w:val="24"/>
          <w:szCs w:val="24"/>
        </w:rPr>
        <w:t>RNA</w:t>
      </w:r>
      <w:r w:rsidR="00CD7E69" w:rsidRPr="008D15C7">
        <w:rPr>
          <w:rFonts w:ascii="Times New Roman" w:hAnsi="Times New Roman" w:cs="Times New Roman"/>
          <w:sz w:val="24"/>
          <w:szCs w:val="24"/>
        </w:rPr>
        <w:t xml:space="preserve"> from a strain of </w:t>
      </w:r>
      <w:r w:rsidR="00CD7E69" w:rsidRPr="008D15C7">
        <w:rPr>
          <w:rFonts w:ascii="Times New Roman" w:hAnsi="Times New Roman" w:cs="Times New Roman"/>
          <w:i/>
          <w:sz w:val="24"/>
          <w:szCs w:val="24"/>
        </w:rPr>
        <w:t>P. stutzeri</w:t>
      </w:r>
      <w:r w:rsidR="00CD7E69" w:rsidRPr="008D15C7">
        <w:rPr>
          <w:rFonts w:ascii="Times New Roman" w:hAnsi="Times New Roman" w:cs="Times New Roman"/>
          <w:sz w:val="24"/>
          <w:szCs w:val="24"/>
        </w:rPr>
        <w:t>, 57B2</w:t>
      </w:r>
      <w:r w:rsidR="00F213C4" w:rsidRPr="008D15C7">
        <w:rPr>
          <w:rFonts w:ascii="Times New Roman" w:hAnsi="Times New Roman" w:cs="Times New Roman"/>
          <w:sz w:val="24"/>
          <w:szCs w:val="24"/>
        </w:rPr>
        <w:t xml:space="preserve"> during log-phase</w:t>
      </w:r>
      <w:r w:rsidR="00B30AEE" w:rsidRPr="008D15C7">
        <w:rPr>
          <w:rFonts w:ascii="Times New Roman" w:hAnsi="Times New Roman" w:cs="Times New Roman"/>
          <w:sz w:val="24"/>
          <w:szCs w:val="24"/>
        </w:rPr>
        <w:t xml:space="preserve">. </w:t>
      </w:r>
      <w:r w:rsidR="00F213C4" w:rsidRPr="008D15C7">
        <w:rPr>
          <w:rFonts w:ascii="Times New Roman" w:hAnsi="Times New Roman" w:cs="Times New Roman"/>
          <w:sz w:val="24"/>
          <w:szCs w:val="24"/>
        </w:rPr>
        <w:t>I will then conduct c</w:t>
      </w:r>
      <w:r w:rsidR="005B7B06">
        <w:rPr>
          <w:rFonts w:ascii="Times New Roman" w:hAnsi="Times New Roman" w:cs="Times New Roman"/>
          <w:sz w:val="24"/>
          <w:szCs w:val="24"/>
        </w:rPr>
        <w:t xml:space="preserve">omplementary </w:t>
      </w:r>
      <w:r w:rsidR="00F213C4" w:rsidRPr="008D15C7">
        <w:rPr>
          <w:rFonts w:ascii="Times New Roman" w:hAnsi="Times New Roman" w:cs="Times New Roman"/>
          <w:sz w:val="24"/>
          <w:szCs w:val="24"/>
        </w:rPr>
        <w:t>DNA</w:t>
      </w:r>
      <w:r w:rsidR="005B7B06">
        <w:rPr>
          <w:rFonts w:ascii="Times New Roman" w:hAnsi="Times New Roman" w:cs="Times New Roman"/>
          <w:sz w:val="24"/>
          <w:szCs w:val="24"/>
        </w:rPr>
        <w:t xml:space="preserve"> (cDNA)</w:t>
      </w:r>
      <w:r w:rsidR="00F213C4" w:rsidRPr="008D15C7">
        <w:rPr>
          <w:rFonts w:ascii="Times New Roman" w:hAnsi="Times New Roman" w:cs="Times New Roman"/>
          <w:sz w:val="24"/>
          <w:szCs w:val="24"/>
        </w:rPr>
        <w:t xml:space="preserve"> synthesis followed by PCR to determine if the homolog MexAB-OprM is expressed at this time similar to </w:t>
      </w:r>
      <w:r w:rsidR="00F213C4" w:rsidRPr="008D15C7">
        <w:rPr>
          <w:rFonts w:ascii="Times New Roman" w:hAnsi="Times New Roman" w:cs="Times New Roman"/>
          <w:i/>
          <w:sz w:val="24"/>
          <w:szCs w:val="24"/>
        </w:rPr>
        <w:t>P. aeruginosa</w:t>
      </w:r>
      <w:r w:rsidR="0041032E" w:rsidRPr="008D15C7">
        <w:rPr>
          <w:rFonts w:ascii="Times New Roman" w:hAnsi="Times New Roman" w:cs="Times New Roman"/>
          <w:sz w:val="24"/>
          <w:szCs w:val="24"/>
        </w:rPr>
        <w:t xml:space="preserve"> (6)</w:t>
      </w:r>
      <w:r w:rsidR="004746EA" w:rsidRPr="008D15C7">
        <w:rPr>
          <w:rFonts w:ascii="Times New Roman" w:hAnsi="Times New Roman" w:cs="Times New Roman"/>
          <w:sz w:val="24"/>
          <w:szCs w:val="24"/>
        </w:rPr>
        <w:t>.</w:t>
      </w:r>
      <w:r w:rsidR="00FC7F0F" w:rsidRPr="008D15C7">
        <w:rPr>
          <w:rFonts w:ascii="Times New Roman" w:hAnsi="Times New Roman" w:cs="Times New Roman"/>
          <w:sz w:val="24"/>
          <w:szCs w:val="24"/>
        </w:rPr>
        <w:t xml:space="preserve"> A </w:t>
      </w:r>
      <w:r w:rsidR="00FC7F0F" w:rsidRPr="008D15C7">
        <w:rPr>
          <w:rFonts w:ascii="Times New Roman" w:hAnsi="Times New Roman" w:cs="Times New Roman"/>
          <w:i/>
          <w:sz w:val="24"/>
          <w:szCs w:val="24"/>
        </w:rPr>
        <w:t>mexA</w:t>
      </w:r>
      <w:r w:rsidR="00FC7F0F" w:rsidRPr="008D15C7">
        <w:rPr>
          <w:rFonts w:ascii="Times New Roman" w:hAnsi="Times New Roman" w:cs="Times New Roman"/>
          <w:sz w:val="24"/>
          <w:szCs w:val="24"/>
        </w:rPr>
        <w:t xml:space="preserve"> primer set will be used to confirm expression for MexAB-OprM</w:t>
      </w:r>
      <w:r w:rsidR="00390BD4" w:rsidRPr="008D15C7">
        <w:rPr>
          <w:rFonts w:ascii="Times New Roman" w:hAnsi="Times New Roman" w:cs="Times New Roman"/>
          <w:sz w:val="24"/>
          <w:szCs w:val="24"/>
        </w:rPr>
        <w:t xml:space="preserve"> in the cDNA samples</w:t>
      </w:r>
      <w:r w:rsidR="00FC7F0F" w:rsidRPr="008D15C7">
        <w:rPr>
          <w:rFonts w:ascii="Times New Roman" w:hAnsi="Times New Roman" w:cs="Times New Roman"/>
          <w:sz w:val="24"/>
          <w:szCs w:val="24"/>
        </w:rPr>
        <w:t>. To control for log-growth expression, a</w:t>
      </w:r>
      <w:r w:rsidR="00BF1A14" w:rsidRPr="008D15C7">
        <w:rPr>
          <w:rFonts w:ascii="Times New Roman" w:hAnsi="Times New Roman" w:cs="Times New Roman"/>
          <w:sz w:val="24"/>
          <w:szCs w:val="24"/>
        </w:rPr>
        <w:t>n</w:t>
      </w:r>
      <w:r w:rsidR="00FC7F0F" w:rsidRPr="008D15C7">
        <w:rPr>
          <w:rFonts w:ascii="Times New Roman" w:hAnsi="Times New Roman" w:cs="Times New Roman"/>
          <w:sz w:val="24"/>
          <w:szCs w:val="24"/>
        </w:rPr>
        <w:t xml:space="preserve"> </w:t>
      </w:r>
      <w:r w:rsidR="00FC7F0F" w:rsidRPr="008D15C7">
        <w:rPr>
          <w:rFonts w:ascii="Times New Roman" w:hAnsi="Times New Roman" w:cs="Times New Roman"/>
          <w:i/>
          <w:sz w:val="24"/>
          <w:szCs w:val="24"/>
        </w:rPr>
        <w:t>rpoD</w:t>
      </w:r>
      <w:r w:rsidR="00FC7F0F" w:rsidRPr="008D15C7">
        <w:rPr>
          <w:rFonts w:ascii="Times New Roman" w:hAnsi="Times New Roman" w:cs="Times New Roman"/>
          <w:sz w:val="24"/>
          <w:szCs w:val="24"/>
        </w:rPr>
        <w:t xml:space="preserve"> primer set will also be used</w:t>
      </w:r>
      <w:r w:rsidR="00BF1A14" w:rsidRPr="008D15C7">
        <w:rPr>
          <w:rFonts w:ascii="Times New Roman" w:hAnsi="Times New Roman" w:cs="Times New Roman"/>
          <w:sz w:val="24"/>
          <w:szCs w:val="24"/>
        </w:rPr>
        <w:t xml:space="preserve"> on the cDNA samples</w:t>
      </w:r>
      <w:r w:rsidR="00FC7F0F" w:rsidRPr="008D15C7">
        <w:rPr>
          <w:rFonts w:ascii="Times New Roman" w:hAnsi="Times New Roman" w:cs="Times New Roman"/>
          <w:sz w:val="24"/>
          <w:szCs w:val="24"/>
        </w:rPr>
        <w:t xml:space="preserve">. To </w:t>
      </w:r>
      <w:r w:rsidR="00A45CFE" w:rsidRPr="008D15C7">
        <w:rPr>
          <w:rFonts w:ascii="Times New Roman" w:hAnsi="Times New Roman" w:cs="Times New Roman"/>
          <w:sz w:val="24"/>
          <w:szCs w:val="24"/>
        </w:rPr>
        <w:t>test</w:t>
      </w:r>
      <w:r w:rsidR="00FC7F0F" w:rsidRPr="008D15C7">
        <w:rPr>
          <w:rFonts w:ascii="Times New Roman" w:hAnsi="Times New Roman" w:cs="Times New Roman"/>
          <w:sz w:val="24"/>
          <w:szCs w:val="24"/>
        </w:rPr>
        <w:t xml:space="preserve"> for</w:t>
      </w:r>
      <w:r w:rsidR="001203DC" w:rsidRPr="008D15C7">
        <w:rPr>
          <w:rFonts w:ascii="Times New Roman" w:hAnsi="Times New Roman" w:cs="Times New Roman"/>
          <w:sz w:val="24"/>
          <w:szCs w:val="24"/>
        </w:rPr>
        <w:t xml:space="preserve"> the presence of</w:t>
      </w:r>
      <w:r w:rsidR="00FC7F0F" w:rsidRPr="008D15C7">
        <w:rPr>
          <w:rFonts w:ascii="Times New Roman" w:hAnsi="Times New Roman" w:cs="Times New Roman"/>
          <w:sz w:val="24"/>
          <w:szCs w:val="24"/>
        </w:rPr>
        <w:t xml:space="preserve"> g</w:t>
      </w:r>
      <w:r w:rsidR="005B7B06">
        <w:rPr>
          <w:rFonts w:ascii="Times New Roman" w:hAnsi="Times New Roman" w:cs="Times New Roman"/>
          <w:sz w:val="24"/>
          <w:szCs w:val="24"/>
        </w:rPr>
        <w:t xml:space="preserve">enomic </w:t>
      </w:r>
      <w:r w:rsidR="00FC7F0F" w:rsidRPr="008D15C7">
        <w:rPr>
          <w:rFonts w:ascii="Times New Roman" w:hAnsi="Times New Roman" w:cs="Times New Roman"/>
          <w:sz w:val="24"/>
          <w:szCs w:val="24"/>
        </w:rPr>
        <w:t>DNA</w:t>
      </w:r>
      <w:r w:rsidR="005B7B06">
        <w:rPr>
          <w:rFonts w:ascii="Times New Roman" w:hAnsi="Times New Roman" w:cs="Times New Roman"/>
          <w:sz w:val="24"/>
          <w:szCs w:val="24"/>
        </w:rPr>
        <w:t xml:space="preserve"> (gDNA)</w:t>
      </w:r>
      <w:r w:rsidR="00FC7F0F" w:rsidRPr="008D15C7">
        <w:rPr>
          <w:rFonts w:ascii="Times New Roman" w:hAnsi="Times New Roman" w:cs="Times New Roman"/>
          <w:sz w:val="24"/>
          <w:szCs w:val="24"/>
        </w:rPr>
        <w:t xml:space="preserve"> </w:t>
      </w:r>
      <w:r w:rsidR="001203DC" w:rsidRPr="008D15C7">
        <w:rPr>
          <w:rFonts w:ascii="Times New Roman" w:hAnsi="Times New Roman" w:cs="Times New Roman"/>
          <w:sz w:val="24"/>
          <w:szCs w:val="24"/>
        </w:rPr>
        <w:t>after RNA extraction</w:t>
      </w:r>
      <w:r w:rsidR="00FC7F0F" w:rsidRPr="008D15C7">
        <w:rPr>
          <w:rFonts w:ascii="Times New Roman" w:hAnsi="Times New Roman" w:cs="Times New Roman"/>
          <w:sz w:val="24"/>
          <w:szCs w:val="24"/>
        </w:rPr>
        <w:t>, the two primer sets will also be used in an RNA only sample. To verify the PCR master</w:t>
      </w:r>
      <w:r w:rsidR="00BE0882" w:rsidRPr="008D15C7">
        <w:rPr>
          <w:rFonts w:ascii="Times New Roman" w:hAnsi="Times New Roman" w:cs="Times New Roman"/>
          <w:sz w:val="24"/>
          <w:szCs w:val="24"/>
        </w:rPr>
        <w:t xml:space="preserve"> </w:t>
      </w:r>
      <w:r w:rsidR="00FC7F0F" w:rsidRPr="008D15C7">
        <w:rPr>
          <w:rFonts w:ascii="Times New Roman" w:hAnsi="Times New Roman" w:cs="Times New Roman"/>
          <w:sz w:val="24"/>
          <w:szCs w:val="24"/>
        </w:rPr>
        <w:t xml:space="preserve">mix was made correctly, a gDNA control for the two </w:t>
      </w:r>
      <w:r w:rsidR="006F2441" w:rsidRPr="008D15C7">
        <w:rPr>
          <w:rFonts w:ascii="Times New Roman" w:hAnsi="Times New Roman" w:cs="Times New Roman"/>
          <w:sz w:val="24"/>
          <w:szCs w:val="24"/>
        </w:rPr>
        <w:t>primer sets will also be used</w:t>
      </w:r>
      <w:r w:rsidR="001203DC" w:rsidRPr="008D15C7">
        <w:rPr>
          <w:rFonts w:ascii="Times New Roman" w:hAnsi="Times New Roman" w:cs="Times New Roman"/>
          <w:sz w:val="24"/>
          <w:szCs w:val="24"/>
        </w:rPr>
        <w:t>.</w:t>
      </w:r>
      <w:r w:rsidR="005048B4" w:rsidRPr="008D15C7">
        <w:rPr>
          <w:rFonts w:ascii="Times New Roman" w:hAnsi="Times New Roman" w:cs="Times New Roman"/>
          <w:sz w:val="24"/>
          <w:szCs w:val="24"/>
        </w:rPr>
        <w:t xml:space="preserve"> I will perform this experiment three times </w:t>
      </w:r>
      <w:r w:rsidR="005B7B06">
        <w:rPr>
          <w:rFonts w:ascii="Times New Roman" w:hAnsi="Times New Roman" w:cs="Times New Roman"/>
          <w:sz w:val="24"/>
          <w:szCs w:val="24"/>
        </w:rPr>
        <w:t>to account for biological variation</w:t>
      </w:r>
      <w:r w:rsidR="005048B4" w:rsidRPr="008D15C7">
        <w:rPr>
          <w:rFonts w:ascii="Times New Roman" w:hAnsi="Times New Roman" w:cs="Times New Roman"/>
          <w:sz w:val="24"/>
          <w:szCs w:val="24"/>
        </w:rPr>
        <w:t>.</w:t>
      </w:r>
      <w:r w:rsidR="001203DC" w:rsidRPr="008D15C7">
        <w:rPr>
          <w:rFonts w:ascii="Times New Roman" w:hAnsi="Times New Roman" w:cs="Times New Roman"/>
          <w:sz w:val="24"/>
          <w:szCs w:val="24"/>
        </w:rPr>
        <w:t xml:space="preserve"> </w:t>
      </w:r>
      <w:r w:rsidR="00004DF1" w:rsidRPr="008D15C7">
        <w:rPr>
          <w:rFonts w:ascii="Times New Roman" w:hAnsi="Times New Roman" w:cs="Times New Roman"/>
          <w:sz w:val="24"/>
          <w:szCs w:val="24"/>
        </w:rPr>
        <w:t xml:space="preserve">If there is a band corresponding to the </w:t>
      </w:r>
      <w:r w:rsidR="00004DF1" w:rsidRPr="008D15C7">
        <w:rPr>
          <w:rFonts w:ascii="Times New Roman" w:hAnsi="Times New Roman" w:cs="Times New Roman"/>
          <w:i/>
          <w:sz w:val="24"/>
          <w:szCs w:val="24"/>
        </w:rPr>
        <w:t>mexA</w:t>
      </w:r>
      <w:r w:rsidR="009C41FA" w:rsidRPr="008D15C7">
        <w:rPr>
          <w:rFonts w:ascii="Times New Roman" w:hAnsi="Times New Roman" w:cs="Times New Roman"/>
          <w:sz w:val="24"/>
          <w:szCs w:val="24"/>
        </w:rPr>
        <w:t xml:space="preserve"> gene length </w:t>
      </w:r>
      <w:r w:rsidR="00387980" w:rsidRPr="008D15C7">
        <w:rPr>
          <w:rFonts w:ascii="Times New Roman" w:hAnsi="Times New Roman" w:cs="Times New Roman"/>
          <w:sz w:val="24"/>
          <w:szCs w:val="24"/>
        </w:rPr>
        <w:t>in the</w:t>
      </w:r>
      <w:r w:rsidR="007D6B15" w:rsidRPr="008D15C7">
        <w:rPr>
          <w:rFonts w:ascii="Times New Roman" w:hAnsi="Times New Roman" w:cs="Times New Roman"/>
          <w:sz w:val="24"/>
          <w:szCs w:val="24"/>
        </w:rPr>
        <w:t xml:space="preserve"> cDNA</w:t>
      </w:r>
      <w:r w:rsidR="00387980" w:rsidRPr="008D15C7">
        <w:rPr>
          <w:rFonts w:ascii="Times New Roman" w:hAnsi="Times New Roman" w:cs="Times New Roman"/>
          <w:sz w:val="24"/>
          <w:szCs w:val="24"/>
        </w:rPr>
        <w:t xml:space="preserve"> sample</w:t>
      </w:r>
      <w:r w:rsidR="007D6B15" w:rsidRPr="008D15C7">
        <w:rPr>
          <w:rFonts w:ascii="Times New Roman" w:hAnsi="Times New Roman" w:cs="Times New Roman"/>
          <w:sz w:val="24"/>
          <w:szCs w:val="24"/>
        </w:rPr>
        <w:t xml:space="preserve">, then I will conclude that the homolog is constitutively expressed. </w:t>
      </w:r>
      <w:r w:rsidR="00FE6145" w:rsidRPr="008D15C7">
        <w:rPr>
          <w:rFonts w:ascii="Times New Roman" w:hAnsi="Times New Roman" w:cs="Times New Roman"/>
          <w:sz w:val="24"/>
          <w:szCs w:val="24"/>
        </w:rPr>
        <w:t xml:space="preserve">However, if there is no band of this length, then the </w:t>
      </w:r>
      <w:r w:rsidR="00FE6145" w:rsidRPr="008D15C7">
        <w:rPr>
          <w:rFonts w:ascii="Times New Roman" w:hAnsi="Times New Roman" w:cs="Times New Roman"/>
          <w:i/>
          <w:sz w:val="24"/>
          <w:szCs w:val="24"/>
        </w:rPr>
        <w:t>mexA</w:t>
      </w:r>
      <w:r w:rsidR="00FE6145" w:rsidRPr="008D15C7">
        <w:rPr>
          <w:rFonts w:ascii="Times New Roman" w:hAnsi="Times New Roman" w:cs="Times New Roman"/>
          <w:sz w:val="24"/>
          <w:szCs w:val="24"/>
        </w:rPr>
        <w:t xml:space="preserve"> gene is not expressed at this phase and I will test other candidate homologs.</w:t>
      </w:r>
    </w:p>
    <w:p w14:paraId="7CDAF391" w14:textId="39E565CC" w:rsidR="00FE6145" w:rsidRPr="008D15C7" w:rsidRDefault="00FE6145" w:rsidP="008D15C7">
      <w:pPr>
        <w:shd w:val="clear" w:color="auto" w:fill="FFFFFF"/>
        <w:tabs>
          <w:tab w:val="num" w:pos="720"/>
        </w:tabs>
        <w:snapToGrid w:val="0"/>
        <w:spacing w:after="0" w:line="240" w:lineRule="auto"/>
        <w:contextualSpacing/>
        <w:rPr>
          <w:rFonts w:ascii="Times New Roman" w:hAnsi="Times New Roman" w:cs="Times New Roman"/>
          <w:sz w:val="24"/>
          <w:szCs w:val="24"/>
        </w:rPr>
      </w:pPr>
      <w:r w:rsidRPr="008D15C7">
        <w:rPr>
          <w:rFonts w:ascii="Times New Roman" w:hAnsi="Times New Roman" w:cs="Times New Roman"/>
          <w:sz w:val="24"/>
          <w:szCs w:val="24"/>
        </w:rPr>
        <w:tab/>
        <w:t xml:space="preserve">Next, </w:t>
      </w:r>
      <w:r w:rsidR="00EF5F52" w:rsidRPr="008D15C7">
        <w:rPr>
          <w:rFonts w:ascii="Times New Roman" w:hAnsi="Times New Roman" w:cs="Times New Roman"/>
          <w:sz w:val="24"/>
          <w:szCs w:val="24"/>
        </w:rPr>
        <w:t xml:space="preserve">I will use </w:t>
      </w:r>
      <w:r w:rsidR="00A45CFE" w:rsidRPr="008D15C7">
        <w:rPr>
          <w:rFonts w:ascii="Times New Roman" w:hAnsi="Times New Roman" w:cs="Times New Roman"/>
          <w:sz w:val="24"/>
          <w:szCs w:val="24"/>
        </w:rPr>
        <w:t>SacB</w:t>
      </w:r>
      <w:r w:rsidR="00B70AD6" w:rsidRPr="008D15C7">
        <w:rPr>
          <w:rFonts w:ascii="Times New Roman" w:hAnsi="Times New Roman" w:cs="Times New Roman"/>
          <w:sz w:val="24"/>
          <w:szCs w:val="24"/>
        </w:rPr>
        <w:t>-</w:t>
      </w:r>
      <w:r w:rsidR="00EF5F52" w:rsidRPr="008D15C7">
        <w:rPr>
          <w:rFonts w:ascii="Times New Roman" w:hAnsi="Times New Roman" w:cs="Times New Roman"/>
          <w:sz w:val="24"/>
          <w:szCs w:val="24"/>
        </w:rPr>
        <w:t>mediated sucrose counter</w:t>
      </w:r>
      <w:r w:rsidR="00B70AD6" w:rsidRPr="008D15C7">
        <w:rPr>
          <w:rFonts w:ascii="Times New Roman" w:hAnsi="Times New Roman" w:cs="Times New Roman"/>
          <w:sz w:val="24"/>
          <w:szCs w:val="24"/>
        </w:rPr>
        <w:t>-</w:t>
      </w:r>
      <w:r w:rsidR="00EF5F52" w:rsidRPr="008D15C7">
        <w:rPr>
          <w:rFonts w:ascii="Times New Roman" w:hAnsi="Times New Roman" w:cs="Times New Roman"/>
          <w:sz w:val="24"/>
          <w:szCs w:val="24"/>
        </w:rPr>
        <w:t xml:space="preserve">selection to delete the gene segment between </w:t>
      </w:r>
      <w:r w:rsidR="00A56613" w:rsidRPr="008D15C7">
        <w:rPr>
          <w:rFonts w:ascii="Times New Roman" w:hAnsi="Times New Roman" w:cs="Times New Roman"/>
          <w:i/>
          <w:sz w:val="24"/>
          <w:szCs w:val="24"/>
        </w:rPr>
        <w:t>mexA</w:t>
      </w:r>
      <w:r w:rsidR="00A56613" w:rsidRPr="008D15C7">
        <w:rPr>
          <w:rFonts w:ascii="Times New Roman" w:hAnsi="Times New Roman" w:cs="Times New Roman"/>
          <w:sz w:val="24"/>
          <w:szCs w:val="24"/>
        </w:rPr>
        <w:t xml:space="preserve"> and </w:t>
      </w:r>
      <w:r w:rsidR="00A56613" w:rsidRPr="008D15C7">
        <w:rPr>
          <w:rFonts w:ascii="Times New Roman" w:hAnsi="Times New Roman" w:cs="Times New Roman"/>
          <w:i/>
          <w:sz w:val="24"/>
          <w:szCs w:val="24"/>
        </w:rPr>
        <w:t>mexB</w:t>
      </w:r>
      <w:r w:rsidR="00A56613" w:rsidRPr="008D15C7">
        <w:rPr>
          <w:rFonts w:ascii="Times New Roman" w:hAnsi="Times New Roman" w:cs="Times New Roman"/>
          <w:sz w:val="24"/>
          <w:szCs w:val="24"/>
        </w:rPr>
        <w:t xml:space="preserve">. </w:t>
      </w:r>
      <w:r w:rsidR="001D3DF7" w:rsidRPr="008D15C7">
        <w:rPr>
          <w:rFonts w:ascii="Times New Roman" w:hAnsi="Times New Roman" w:cs="Times New Roman"/>
          <w:sz w:val="24"/>
          <w:szCs w:val="24"/>
        </w:rPr>
        <w:t xml:space="preserve">In order to do </w:t>
      </w:r>
      <w:r w:rsidR="00EF532C" w:rsidRPr="008D15C7">
        <w:rPr>
          <w:rFonts w:ascii="Times New Roman" w:hAnsi="Times New Roman" w:cs="Times New Roman"/>
          <w:sz w:val="24"/>
          <w:szCs w:val="24"/>
        </w:rPr>
        <w:t>this,</w:t>
      </w:r>
      <w:r w:rsidR="00A45CFE" w:rsidRPr="008D15C7">
        <w:rPr>
          <w:rFonts w:ascii="Times New Roman" w:hAnsi="Times New Roman" w:cs="Times New Roman"/>
          <w:sz w:val="24"/>
          <w:szCs w:val="24"/>
        </w:rPr>
        <w:t xml:space="preserve"> I will use Gibson assembly</w:t>
      </w:r>
      <w:r w:rsidR="007443BA">
        <w:rPr>
          <w:rFonts w:ascii="Times New Roman" w:hAnsi="Times New Roman" w:cs="Times New Roman"/>
          <w:sz w:val="24"/>
          <w:szCs w:val="24"/>
        </w:rPr>
        <w:t xml:space="preserve"> to</w:t>
      </w:r>
      <w:r w:rsidR="00A45CFE" w:rsidRPr="008D15C7">
        <w:rPr>
          <w:rFonts w:ascii="Times New Roman" w:hAnsi="Times New Roman" w:cs="Times New Roman"/>
          <w:sz w:val="24"/>
          <w:szCs w:val="24"/>
        </w:rPr>
        <w:t xml:space="preserve"> </w:t>
      </w:r>
      <w:r w:rsidR="00563CD0" w:rsidRPr="008D15C7">
        <w:rPr>
          <w:rFonts w:ascii="Times New Roman" w:hAnsi="Times New Roman" w:cs="Times New Roman"/>
          <w:sz w:val="24"/>
          <w:szCs w:val="24"/>
        </w:rPr>
        <w:t>insert a 100 bp section of DNA</w:t>
      </w:r>
      <w:r w:rsidR="00B26EEE" w:rsidRPr="008D15C7">
        <w:rPr>
          <w:rFonts w:ascii="Times New Roman" w:hAnsi="Times New Roman" w:cs="Times New Roman"/>
          <w:sz w:val="24"/>
          <w:szCs w:val="24"/>
        </w:rPr>
        <w:t xml:space="preserve"> containing the</w:t>
      </w:r>
      <w:r w:rsidR="00563CD0" w:rsidRPr="008D15C7">
        <w:rPr>
          <w:rFonts w:ascii="Times New Roman" w:hAnsi="Times New Roman" w:cs="Times New Roman"/>
          <w:sz w:val="24"/>
          <w:szCs w:val="24"/>
        </w:rPr>
        <w:t xml:space="preserve"> first 50 bp of </w:t>
      </w:r>
      <w:r w:rsidR="00B26EEE" w:rsidRPr="008D15C7">
        <w:rPr>
          <w:rFonts w:ascii="Times New Roman" w:hAnsi="Times New Roman" w:cs="Times New Roman"/>
          <w:i/>
          <w:sz w:val="24"/>
          <w:szCs w:val="24"/>
        </w:rPr>
        <w:t>mexA</w:t>
      </w:r>
      <w:r w:rsidR="00CC7AC1" w:rsidRPr="008D15C7">
        <w:rPr>
          <w:rFonts w:ascii="Times New Roman" w:hAnsi="Times New Roman" w:cs="Times New Roman"/>
          <w:sz w:val="24"/>
          <w:szCs w:val="24"/>
        </w:rPr>
        <w:t xml:space="preserve"> and </w:t>
      </w:r>
      <w:r w:rsidR="00CC7AC1" w:rsidRPr="008D15C7">
        <w:rPr>
          <w:rFonts w:ascii="Times New Roman" w:hAnsi="Times New Roman" w:cs="Times New Roman"/>
          <w:i/>
          <w:sz w:val="24"/>
          <w:szCs w:val="24"/>
        </w:rPr>
        <w:t xml:space="preserve">mexB </w:t>
      </w:r>
      <w:r w:rsidR="00CC7AC1" w:rsidRPr="008D15C7">
        <w:rPr>
          <w:rFonts w:ascii="Times New Roman" w:hAnsi="Times New Roman" w:cs="Times New Roman"/>
          <w:sz w:val="24"/>
          <w:szCs w:val="24"/>
        </w:rPr>
        <w:t>gene</w:t>
      </w:r>
      <w:r w:rsidR="00A45CFE" w:rsidRPr="008D15C7">
        <w:rPr>
          <w:rFonts w:ascii="Times New Roman" w:hAnsi="Times New Roman" w:cs="Times New Roman"/>
          <w:sz w:val="24"/>
          <w:szCs w:val="24"/>
        </w:rPr>
        <w:t>s</w:t>
      </w:r>
      <w:r w:rsidR="005508D7" w:rsidRPr="008D15C7">
        <w:rPr>
          <w:rFonts w:ascii="Times New Roman" w:hAnsi="Times New Roman" w:cs="Times New Roman"/>
          <w:sz w:val="24"/>
          <w:szCs w:val="24"/>
        </w:rPr>
        <w:t xml:space="preserve"> </w:t>
      </w:r>
      <w:r w:rsidR="00A45CFE" w:rsidRPr="008D15C7">
        <w:rPr>
          <w:rFonts w:ascii="Times New Roman" w:hAnsi="Times New Roman" w:cs="Times New Roman"/>
          <w:sz w:val="24"/>
          <w:szCs w:val="24"/>
        </w:rPr>
        <w:t>into the pEX18 suicide plasmid</w:t>
      </w:r>
      <w:r w:rsidR="005B7B06">
        <w:rPr>
          <w:rFonts w:ascii="Times New Roman" w:hAnsi="Times New Roman" w:cs="Times New Roman"/>
          <w:sz w:val="24"/>
          <w:szCs w:val="24"/>
        </w:rPr>
        <w:t xml:space="preserve"> </w:t>
      </w:r>
      <w:r w:rsidR="005508D7" w:rsidRPr="008D15C7">
        <w:rPr>
          <w:rFonts w:ascii="Times New Roman" w:hAnsi="Times New Roman" w:cs="Times New Roman"/>
          <w:sz w:val="24"/>
          <w:szCs w:val="24"/>
        </w:rPr>
        <w:t>(7).</w:t>
      </w:r>
      <w:r w:rsidR="00CC7AC1" w:rsidRPr="008D15C7">
        <w:rPr>
          <w:rFonts w:ascii="Times New Roman" w:hAnsi="Times New Roman" w:cs="Times New Roman"/>
          <w:sz w:val="24"/>
          <w:szCs w:val="24"/>
        </w:rPr>
        <w:t xml:space="preserve"> </w:t>
      </w:r>
      <w:r w:rsidR="003B678D" w:rsidRPr="008D15C7">
        <w:rPr>
          <w:rFonts w:ascii="Times New Roman" w:hAnsi="Times New Roman" w:cs="Times New Roman"/>
          <w:sz w:val="24"/>
          <w:szCs w:val="24"/>
        </w:rPr>
        <w:t xml:space="preserve">The ends of both the plasmid and the insert will be “chewed back” by T5 exonuclease which </w:t>
      </w:r>
      <w:r w:rsidR="003207AA">
        <w:rPr>
          <w:rFonts w:ascii="Times New Roman" w:hAnsi="Times New Roman" w:cs="Times New Roman"/>
          <w:sz w:val="24"/>
          <w:szCs w:val="24"/>
        </w:rPr>
        <w:t>creates</w:t>
      </w:r>
      <w:r w:rsidR="003B678D" w:rsidRPr="008D15C7">
        <w:rPr>
          <w:rFonts w:ascii="Times New Roman" w:hAnsi="Times New Roman" w:cs="Times New Roman"/>
          <w:sz w:val="24"/>
          <w:szCs w:val="24"/>
        </w:rPr>
        <w:t xml:space="preserve"> </w:t>
      </w:r>
      <w:r w:rsidR="00003B65" w:rsidRPr="008D15C7">
        <w:rPr>
          <w:rFonts w:ascii="Times New Roman" w:hAnsi="Times New Roman" w:cs="Times New Roman"/>
          <w:sz w:val="24"/>
          <w:szCs w:val="24"/>
        </w:rPr>
        <w:t>single-stranded DNA 3’ overhangs by removing 5’ nucleotides</w:t>
      </w:r>
      <w:r w:rsidR="007E184F" w:rsidRPr="008D15C7">
        <w:rPr>
          <w:rFonts w:ascii="Times New Roman" w:hAnsi="Times New Roman" w:cs="Times New Roman"/>
          <w:sz w:val="24"/>
          <w:szCs w:val="24"/>
        </w:rPr>
        <w:t xml:space="preserve"> (7). </w:t>
      </w:r>
      <w:r w:rsidR="008D232E" w:rsidRPr="008D15C7">
        <w:rPr>
          <w:rFonts w:ascii="Times New Roman" w:hAnsi="Times New Roman" w:cs="Times New Roman"/>
          <w:sz w:val="24"/>
          <w:szCs w:val="24"/>
        </w:rPr>
        <w:t xml:space="preserve">This allows the ends of the </w:t>
      </w:r>
      <w:r w:rsidR="0064597A" w:rsidRPr="008D15C7">
        <w:rPr>
          <w:rFonts w:ascii="Times New Roman" w:hAnsi="Times New Roman" w:cs="Times New Roman"/>
          <w:sz w:val="24"/>
          <w:szCs w:val="24"/>
        </w:rPr>
        <w:t>DNA fragment to anneal to the compl</w:t>
      </w:r>
      <w:r w:rsidR="005B7B06">
        <w:rPr>
          <w:rFonts w:ascii="Times New Roman" w:hAnsi="Times New Roman" w:cs="Times New Roman"/>
          <w:sz w:val="24"/>
          <w:szCs w:val="24"/>
        </w:rPr>
        <w:t>e</w:t>
      </w:r>
      <w:r w:rsidR="0064597A" w:rsidRPr="008D15C7">
        <w:rPr>
          <w:rFonts w:ascii="Times New Roman" w:hAnsi="Times New Roman" w:cs="Times New Roman"/>
          <w:sz w:val="24"/>
          <w:szCs w:val="24"/>
        </w:rPr>
        <w:t xml:space="preserve">mentary DNA segments on the ends of the plasmid, which causes the plasmid to re-circularize. </w:t>
      </w:r>
      <w:r w:rsidR="005508D7" w:rsidRPr="008D15C7">
        <w:rPr>
          <w:rFonts w:ascii="Times New Roman" w:hAnsi="Times New Roman" w:cs="Times New Roman"/>
          <w:sz w:val="24"/>
          <w:szCs w:val="24"/>
        </w:rPr>
        <w:t xml:space="preserve">The </w:t>
      </w:r>
      <w:r w:rsidR="00A45CFE" w:rsidRPr="008D15C7">
        <w:rPr>
          <w:rFonts w:ascii="Times New Roman" w:hAnsi="Times New Roman" w:cs="Times New Roman"/>
          <w:sz w:val="24"/>
          <w:szCs w:val="24"/>
        </w:rPr>
        <w:t>resulting pEX18-</w:t>
      </w:r>
      <w:r w:rsidR="001324EF" w:rsidRPr="008D15C7">
        <w:rPr>
          <w:rFonts w:ascii="Times New Roman" w:hAnsi="Times New Roman" w:cs="Times New Roman"/>
          <w:i/>
          <w:sz w:val="24"/>
          <w:szCs w:val="24"/>
        </w:rPr>
        <w:t xml:space="preserve">mexAB </w:t>
      </w:r>
      <w:r w:rsidR="001324EF" w:rsidRPr="008D15C7">
        <w:rPr>
          <w:rFonts w:ascii="Times New Roman" w:hAnsi="Times New Roman" w:cs="Times New Roman"/>
          <w:sz w:val="24"/>
          <w:szCs w:val="24"/>
        </w:rPr>
        <w:t>plasmid will be circular and contain</w:t>
      </w:r>
      <w:r w:rsidR="00215A80" w:rsidRPr="008D15C7">
        <w:rPr>
          <w:rFonts w:ascii="Times New Roman" w:hAnsi="Times New Roman" w:cs="Times New Roman"/>
          <w:sz w:val="24"/>
          <w:szCs w:val="24"/>
        </w:rPr>
        <w:t xml:space="preserve"> a gentamicin resistance factor, and </w:t>
      </w:r>
      <w:r w:rsidR="001324EF" w:rsidRPr="008D15C7">
        <w:rPr>
          <w:rFonts w:ascii="Times New Roman" w:hAnsi="Times New Roman" w:cs="Times New Roman"/>
          <w:sz w:val="24"/>
          <w:szCs w:val="24"/>
        </w:rPr>
        <w:t>the</w:t>
      </w:r>
      <w:r w:rsidR="00215A80" w:rsidRPr="008D15C7">
        <w:rPr>
          <w:rFonts w:ascii="Times New Roman" w:hAnsi="Times New Roman" w:cs="Times New Roman"/>
          <w:sz w:val="24"/>
          <w:szCs w:val="24"/>
        </w:rPr>
        <w:t xml:space="preserve"> </w:t>
      </w:r>
      <w:r w:rsidR="00215A80" w:rsidRPr="008D15C7">
        <w:rPr>
          <w:rFonts w:ascii="Times New Roman" w:hAnsi="Times New Roman" w:cs="Times New Roman"/>
          <w:i/>
          <w:sz w:val="24"/>
          <w:szCs w:val="24"/>
        </w:rPr>
        <w:t>sacB</w:t>
      </w:r>
      <w:r w:rsidR="00215A80" w:rsidRPr="008D15C7">
        <w:rPr>
          <w:rFonts w:ascii="Times New Roman" w:hAnsi="Times New Roman" w:cs="Times New Roman"/>
          <w:sz w:val="24"/>
          <w:szCs w:val="24"/>
        </w:rPr>
        <w:t xml:space="preserve"> gene that</w:t>
      </w:r>
      <w:r w:rsidR="00A063C2" w:rsidRPr="008D15C7">
        <w:rPr>
          <w:rFonts w:ascii="Times New Roman" w:hAnsi="Times New Roman" w:cs="Times New Roman"/>
          <w:sz w:val="24"/>
          <w:szCs w:val="24"/>
        </w:rPr>
        <w:t xml:space="preserve">, when expressed, kills </w:t>
      </w:r>
      <w:r w:rsidR="005B7B06">
        <w:rPr>
          <w:rFonts w:ascii="Times New Roman" w:hAnsi="Times New Roman" w:cs="Times New Roman"/>
          <w:sz w:val="24"/>
          <w:szCs w:val="24"/>
        </w:rPr>
        <w:t xml:space="preserve">the </w:t>
      </w:r>
      <w:r w:rsidR="00A063C2" w:rsidRPr="008D15C7">
        <w:rPr>
          <w:rFonts w:ascii="Times New Roman" w:hAnsi="Times New Roman" w:cs="Times New Roman"/>
          <w:sz w:val="24"/>
          <w:szCs w:val="24"/>
        </w:rPr>
        <w:t>cell if exposed to sucrose (8).</w:t>
      </w:r>
      <w:r w:rsidR="006F7E14" w:rsidRPr="008D15C7">
        <w:rPr>
          <w:rFonts w:ascii="Times New Roman" w:hAnsi="Times New Roman" w:cs="Times New Roman"/>
          <w:sz w:val="24"/>
          <w:szCs w:val="24"/>
        </w:rPr>
        <w:t xml:space="preserve"> I will transform the </w:t>
      </w:r>
      <w:r w:rsidR="005B7B06">
        <w:rPr>
          <w:rFonts w:ascii="Times New Roman" w:hAnsi="Times New Roman" w:cs="Times New Roman"/>
          <w:sz w:val="24"/>
          <w:szCs w:val="24"/>
        </w:rPr>
        <w:t>plasmid</w:t>
      </w:r>
      <w:r w:rsidR="005B7B06" w:rsidRPr="008D15C7">
        <w:rPr>
          <w:rFonts w:ascii="Times New Roman" w:hAnsi="Times New Roman" w:cs="Times New Roman"/>
          <w:sz w:val="24"/>
          <w:szCs w:val="24"/>
        </w:rPr>
        <w:t xml:space="preserve"> </w:t>
      </w:r>
      <w:r w:rsidR="006F7E14" w:rsidRPr="008D15C7">
        <w:rPr>
          <w:rFonts w:ascii="Times New Roman" w:hAnsi="Times New Roman" w:cs="Times New Roman"/>
          <w:sz w:val="24"/>
          <w:szCs w:val="24"/>
        </w:rPr>
        <w:t xml:space="preserve">into </w:t>
      </w:r>
      <w:r w:rsidR="006F7E14" w:rsidRPr="008D15C7">
        <w:rPr>
          <w:rFonts w:ascii="Times New Roman" w:hAnsi="Times New Roman" w:cs="Times New Roman"/>
          <w:i/>
          <w:sz w:val="24"/>
          <w:szCs w:val="24"/>
        </w:rPr>
        <w:t>E. coli</w:t>
      </w:r>
      <w:r w:rsidR="006F7E14" w:rsidRPr="008D15C7">
        <w:rPr>
          <w:rFonts w:ascii="Times New Roman" w:hAnsi="Times New Roman" w:cs="Times New Roman"/>
          <w:sz w:val="24"/>
          <w:szCs w:val="24"/>
        </w:rPr>
        <w:t xml:space="preserve"> SM10.</w:t>
      </w:r>
    </w:p>
    <w:p w14:paraId="096C7000" w14:textId="134F063B" w:rsidR="003412FB" w:rsidRPr="008D15C7" w:rsidRDefault="00A063C2" w:rsidP="008D15C7">
      <w:pPr>
        <w:shd w:val="clear" w:color="auto" w:fill="FFFFFF"/>
        <w:tabs>
          <w:tab w:val="num" w:pos="720"/>
        </w:tabs>
        <w:snapToGrid w:val="0"/>
        <w:spacing w:after="0" w:line="240" w:lineRule="auto"/>
        <w:contextualSpacing/>
        <w:rPr>
          <w:rFonts w:ascii="Times New Roman" w:hAnsi="Times New Roman" w:cs="Times New Roman"/>
          <w:sz w:val="24"/>
          <w:szCs w:val="24"/>
        </w:rPr>
      </w:pPr>
      <w:r w:rsidRPr="008D15C7">
        <w:rPr>
          <w:rFonts w:ascii="Times New Roman" w:hAnsi="Times New Roman" w:cs="Times New Roman"/>
          <w:sz w:val="24"/>
          <w:szCs w:val="24"/>
        </w:rPr>
        <w:tab/>
        <w:t>Following Gibson assembly, I will perform sacB</w:t>
      </w:r>
      <w:r w:rsidR="001324EF" w:rsidRPr="008D15C7">
        <w:rPr>
          <w:rFonts w:ascii="Times New Roman" w:hAnsi="Times New Roman" w:cs="Times New Roman"/>
          <w:sz w:val="24"/>
          <w:szCs w:val="24"/>
        </w:rPr>
        <w:t>-</w:t>
      </w:r>
      <w:r w:rsidRPr="008D15C7">
        <w:rPr>
          <w:rFonts w:ascii="Times New Roman" w:hAnsi="Times New Roman" w:cs="Times New Roman"/>
          <w:sz w:val="24"/>
          <w:szCs w:val="24"/>
        </w:rPr>
        <w:t>mediated sucrose counter</w:t>
      </w:r>
      <w:r w:rsidR="001324EF" w:rsidRPr="008D15C7">
        <w:rPr>
          <w:rFonts w:ascii="Times New Roman" w:hAnsi="Times New Roman" w:cs="Times New Roman"/>
          <w:sz w:val="24"/>
          <w:szCs w:val="24"/>
        </w:rPr>
        <w:t>-</w:t>
      </w:r>
      <w:r w:rsidRPr="008D15C7">
        <w:rPr>
          <w:rFonts w:ascii="Times New Roman" w:hAnsi="Times New Roman" w:cs="Times New Roman"/>
          <w:sz w:val="24"/>
          <w:szCs w:val="24"/>
        </w:rPr>
        <w:t>selection.</w:t>
      </w:r>
      <w:r w:rsidR="003F257A" w:rsidRPr="008D15C7">
        <w:rPr>
          <w:rFonts w:ascii="Times New Roman" w:hAnsi="Times New Roman" w:cs="Times New Roman"/>
          <w:sz w:val="24"/>
          <w:szCs w:val="24"/>
        </w:rPr>
        <w:t xml:space="preserve"> </w:t>
      </w:r>
      <w:r w:rsidR="006F7E14" w:rsidRPr="008D15C7">
        <w:rPr>
          <w:rFonts w:ascii="Times New Roman" w:hAnsi="Times New Roman" w:cs="Times New Roman"/>
          <w:sz w:val="24"/>
          <w:szCs w:val="24"/>
        </w:rPr>
        <w:t>SM10-</w:t>
      </w:r>
      <w:r w:rsidR="001324EF" w:rsidRPr="008D15C7">
        <w:rPr>
          <w:rFonts w:ascii="Times New Roman" w:hAnsi="Times New Roman" w:cs="Times New Roman"/>
          <w:sz w:val="24"/>
          <w:szCs w:val="24"/>
        </w:rPr>
        <w:t>pEX18-</w:t>
      </w:r>
      <w:r w:rsidR="001324EF" w:rsidRPr="008D15C7">
        <w:rPr>
          <w:rFonts w:ascii="Times New Roman" w:hAnsi="Times New Roman" w:cs="Times New Roman"/>
          <w:i/>
          <w:sz w:val="24"/>
          <w:szCs w:val="24"/>
        </w:rPr>
        <w:t>mexAB</w:t>
      </w:r>
      <w:r w:rsidR="008B2437" w:rsidRPr="008D15C7">
        <w:rPr>
          <w:rFonts w:ascii="Times New Roman" w:hAnsi="Times New Roman" w:cs="Times New Roman"/>
          <w:sz w:val="24"/>
          <w:szCs w:val="24"/>
        </w:rPr>
        <w:t xml:space="preserve"> </w:t>
      </w:r>
      <w:r w:rsidR="006F7E14" w:rsidRPr="008D15C7">
        <w:rPr>
          <w:rFonts w:ascii="Times New Roman" w:hAnsi="Times New Roman" w:cs="Times New Roman"/>
          <w:sz w:val="24"/>
          <w:szCs w:val="24"/>
        </w:rPr>
        <w:t>plasmid will</w:t>
      </w:r>
      <w:r w:rsidR="008B2437" w:rsidRPr="008D15C7">
        <w:rPr>
          <w:rFonts w:ascii="Times New Roman" w:hAnsi="Times New Roman" w:cs="Times New Roman"/>
          <w:sz w:val="24"/>
          <w:szCs w:val="24"/>
        </w:rPr>
        <w:t xml:space="preserve"> </w:t>
      </w:r>
      <w:r w:rsidR="006F7E14" w:rsidRPr="008D15C7">
        <w:rPr>
          <w:rFonts w:ascii="Times New Roman" w:hAnsi="Times New Roman" w:cs="Times New Roman"/>
          <w:sz w:val="24"/>
          <w:szCs w:val="24"/>
        </w:rPr>
        <w:t xml:space="preserve">be conjugated </w:t>
      </w:r>
      <w:r w:rsidR="008E240C" w:rsidRPr="008D15C7">
        <w:rPr>
          <w:rFonts w:ascii="Times New Roman" w:hAnsi="Times New Roman" w:cs="Times New Roman"/>
          <w:sz w:val="24"/>
          <w:szCs w:val="24"/>
        </w:rPr>
        <w:t xml:space="preserve">with </w:t>
      </w:r>
      <w:r w:rsidR="005C2B82" w:rsidRPr="008D15C7">
        <w:rPr>
          <w:rFonts w:ascii="Times New Roman" w:hAnsi="Times New Roman" w:cs="Times New Roman"/>
          <w:i/>
          <w:sz w:val="24"/>
          <w:szCs w:val="24"/>
        </w:rPr>
        <w:t>P. stutzeri</w:t>
      </w:r>
      <w:r w:rsidR="005C2B82" w:rsidRPr="008D15C7">
        <w:rPr>
          <w:rFonts w:ascii="Times New Roman" w:hAnsi="Times New Roman" w:cs="Times New Roman"/>
          <w:sz w:val="24"/>
          <w:szCs w:val="24"/>
        </w:rPr>
        <w:t xml:space="preserve"> </w:t>
      </w:r>
      <w:r w:rsidR="008E240C" w:rsidRPr="008D15C7">
        <w:rPr>
          <w:rFonts w:ascii="Times New Roman" w:hAnsi="Times New Roman" w:cs="Times New Roman"/>
          <w:sz w:val="24"/>
          <w:szCs w:val="24"/>
        </w:rPr>
        <w:t xml:space="preserve">using </w:t>
      </w:r>
      <w:r w:rsidR="005B7B06">
        <w:rPr>
          <w:rFonts w:ascii="Times New Roman" w:hAnsi="Times New Roman" w:cs="Times New Roman"/>
          <w:sz w:val="24"/>
          <w:szCs w:val="24"/>
        </w:rPr>
        <w:t>the</w:t>
      </w:r>
      <w:r w:rsidR="008E240C" w:rsidRPr="008D15C7">
        <w:rPr>
          <w:rFonts w:ascii="Times New Roman" w:hAnsi="Times New Roman" w:cs="Times New Roman"/>
          <w:sz w:val="24"/>
          <w:szCs w:val="24"/>
        </w:rPr>
        <w:t xml:space="preserve"> protocol</w:t>
      </w:r>
      <w:r w:rsidR="005B7B06">
        <w:rPr>
          <w:rFonts w:ascii="Times New Roman" w:hAnsi="Times New Roman" w:cs="Times New Roman"/>
          <w:sz w:val="24"/>
          <w:szCs w:val="24"/>
        </w:rPr>
        <w:t xml:space="preserve"> that I developed during the academic year</w:t>
      </w:r>
      <w:r w:rsidR="008E240C" w:rsidRPr="008D15C7">
        <w:rPr>
          <w:rFonts w:ascii="Times New Roman" w:hAnsi="Times New Roman" w:cs="Times New Roman"/>
          <w:sz w:val="24"/>
          <w:szCs w:val="24"/>
        </w:rPr>
        <w:t>.</w:t>
      </w:r>
      <w:r w:rsidR="00F65D8F" w:rsidRPr="008D15C7">
        <w:rPr>
          <w:rFonts w:ascii="Times New Roman" w:hAnsi="Times New Roman" w:cs="Times New Roman"/>
          <w:sz w:val="24"/>
          <w:szCs w:val="24"/>
        </w:rPr>
        <w:t xml:space="preserve"> </w:t>
      </w:r>
      <w:r w:rsidR="00BF7197" w:rsidRPr="008D15C7">
        <w:rPr>
          <w:rFonts w:ascii="Times New Roman" w:hAnsi="Times New Roman" w:cs="Times New Roman"/>
          <w:sz w:val="24"/>
          <w:szCs w:val="24"/>
        </w:rPr>
        <w:t>The plasmid is then integrated into the</w:t>
      </w:r>
      <w:r w:rsidR="008E240C" w:rsidRPr="008D15C7">
        <w:rPr>
          <w:rFonts w:ascii="Times New Roman" w:hAnsi="Times New Roman" w:cs="Times New Roman"/>
          <w:sz w:val="24"/>
          <w:szCs w:val="24"/>
        </w:rPr>
        <w:t xml:space="preserve"> </w:t>
      </w:r>
      <w:r w:rsidR="008E240C" w:rsidRPr="008D15C7">
        <w:rPr>
          <w:rFonts w:ascii="Times New Roman" w:hAnsi="Times New Roman" w:cs="Times New Roman"/>
          <w:i/>
          <w:sz w:val="24"/>
          <w:szCs w:val="24"/>
        </w:rPr>
        <w:t>P. stutzeri</w:t>
      </w:r>
      <w:r w:rsidR="00BF7197" w:rsidRPr="008D15C7">
        <w:rPr>
          <w:rFonts w:ascii="Times New Roman" w:hAnsi="Times New Roman" w:cs="Times New Roman"/>
          <w:sz w:val="24"/>
          <w:szCs w:val="24"/>
        </w:rPr>
        <w:t xml:space="preserve"> chromosome via the first recombination event</w:t>
      </w:r>
      <w:r w:rsidR="002A475F" w:rsidRPr="008D15C7">
        <w:rPr>
          <w:rFonts w:ascii="Times New Roman" w:hAnsi="Times New Roman" w:cs="Times New Roman"/>
          <w:sz w:val="24"/>
          <w:szCs w:val="24"/>
        </w:rPr>
        <w:t xml:space="preserve"> and the transformed colonies will be grown in the presence of gentamicin to select for cells that underwent recombination and have integrated the </w:t>
      </w:r>
      <w:r w:rsidR="002A475F" w:rsidRPr="008D15C7">
        <w:rPr>
          <w:rFonts w:ascii="Times New Roman" w:hAnsi="Times New Roman" w:cs="Times New Roman"/>
          <w:sz w:val="24"/>
          <w:szCs w:val="24"/>
        </w:rPr>
        <w:lastRenderedPageBreak/>
        <w:t xml:space="preserve">plasmid successfully. </w:t>
      </w:r>
      <w:r w:rsidR="009C26D8" w:rsidRPr="008D15C7">
        <w:rPr>
          <w:rFonts w:ascii="Times New Roman" w:hAnsi="Times New Roman" w:cs="Times New Roman"/>
          <w:sz w:val="24"/>
          <w:szCs w:val="24"/>
        </w:rPr>
        <w:t xml:space="preserve">Next, a second recombination event will occur. If this event occurs so that </w:t>
      </w:r>
      <w:r w:rsidR="008A611E" w:rsidRPr="008D15C7">
        <w:rPr>
          <w:rFonts w:ascii="Times New Roman" w:hAnsi="Times New Roman" w:cs="Times New Roman"/>
          <w:sz w:val="24"/>
          <w:szCs w:val="24"/>
        </w:rPr>
        <w:t xml:space="preserve">segments upstream of the deletion, </w:t>
      </w:r>
      <w:r w:rsidR="00BE6316" w:rsidRPr="008D15C7">
        <w:rPr>
          <w:rFonts w:ascii="Times New Roman" w:hAnsi="Times New Roman" w:cs="Times New Roman"/>
          <w:sz w:val="24"/>
          <w:szCs w:val="24"/>
        </w:rPr>
        <w:t>the suicide plasmid (8)</w:t>
      </w:r>
      <w:r w:rsidR="009763C2" w:rsidRPr="008D15C7">
        <w:rPr>
          <w:rFonts w:ascii="Times New Roman" w:hAnsi="Times New Roman" w:cs="Times New Roman"/>
          <w:sz w:val="24"/>
          <w:szCs w:val="24"/>
        </w:rPr>
        <w:t xml:space="preserve"> containing the </w:t>
      </w:r>
      <w:r w:rsidR="009763C2" w:rsidRPr="008D15C7">
        <w:rPr>
          <w:rFonts w:ascii="Times New Roman" w:hAnsi="Times New Roman" w:cs="Times New Roman"/>
          <w:i/>
          <w:sz w:val="24"/>
          <w:szCs w:val="24"/>
        </w:rPr>
        <w:t>sacB</w:t>
      </w:r>
      <w:r w:rsidR="00AE06BB" w:rsidRPr="008D15C7">
        <w:rPr>
          <w:rFonts w:ascii="Times New Roman" w:hAnsi="Times New Roman" w:cs="Times New Roman"/>
          <w:i/>
          <w:sz w:val="24"/>
          <w:szCs w:val="24"/>
        </w:rPr>
        <w:t xml:space="preserve"> </w:t>
      </w:r>
      <w:r w:rsidR="00AE06BB" w:rsidRPr="008D15C7">
        <w:rPr>
          <w:rFonts w:ascii="Times New Roman" w:hAnsi="Times New Roman" w:cs="Times New Roman"/>
          <w:sz w:val="24"/>
          <w:szCs w:val="24"/>
        </w:rPr>
        <w:t>gene</w:t>
      </w:r>
      <w:r w:rsidR="009763C2" w:rsidRPr="008D15C7">
        <w:rPr>
          <w:rFonts w:ascii="Times New Roman" w:hAnsi="Times New Roman" w:cs="Times New Roman"/>
          <w:sz w:val="24"/>
          <w:szCs w:val="24"/>
        </w:rPr>
        <w:t>,</w:t>
      </w:r>
      <w:r w:rsidR="00827A6F" w:rsidRPr="008D15C7">
        <w:rPr>
          <w:rFonts w:ascii="Times New Roman" w:hAnsi="Times New Roman" w:cs="Times New Roman"/>
          <w:sz w:val="24"/>
          <w:szCs w:val="24"/>
        </w:rPr>
        <w:t xml:space="preserve"> the gentamicin resistance factor,</w:t>
      </w:r>
      <w:r w:rsidR="009763C2" w:rsidRPr="008D15C7">
        <w:rPr>
          <w:rFonts w:ascii="Times New Roman" w:hAnsi="Times New Roman" w:cs="Times New Roman"/>
          <w:sz w:val="24"/>
          <w:szCs w:val="24"/>
        </w:rPr>
        <w:t xml:space="preserve"> as well as the deletion</w:t>
      </w:r>
      <w:r w:rsidR="00222296" w:rsidRPr="008D15C7">
        <w:rPr>
          <w:rFonts w:ascii="Times New Roman" w:hAnsi="Times New Roman" w:cs="Times New Roman"/>
          <w:sz w:val="24"/>
          <w:szCs w:val="24"/>
        </w:rPr>
        <w:t xml:space="preserve">, will be looped out of the chromosome. If the second recombination event occurs downstream of the deletion, </w:t>
      </w:r>
      <w:r w:rsidR="00827A6F" w:rsidRPr="008D15C7">
        <w:rPr>
          <w:rFonts w:ascii="Times New Roman" w:hAnsi="Times New Roman" w:cs="Times New Roman"/>
          <w:sz w:val="24"/>
          <w:szCs w:val="24"/>
        </w:rPr>
        <w:t xml:space="preserve">then the deletion remains in the chromosome while the </w:t>
      </w:r>
      <w:r w:rsidR="00AE06BB" w:rsidRPr="008D15C7">
        <w:rPr>
          <w:rFonts w:ascii="Times New Roman" w:hAnsi="Times New Roman" w:cs="Times New Roman"/>
          <w:i/>
          <w:sz w:val="24"/>
          <w:szCs w:val="24"/>
        </w:rPr>
        <w:t xml:space="preserve">sacB </w:t>
      </w:r>
      <w:r w:rsidR="00AE06BB" w:rsidRPr="008D15C7">
        <w:rPr>
          <w:rFonts w:ascii="Times New Roman" w:hAnsi="Times New Roman" w:cs="Times New Roman"/>
          <w:sz w:val="24"/>
          <w:szCs w:val="24"/>
        </w:rPr>
        <w:t xml:space="preserve">gene, gentamicin resistance gene, </w:t>
      </w:r>
      <w:r w:rsidR="00AE06BB" w:rsidRPr="008D15C7">
        <w:rPr>
          <w:rFonts w:ascii="Times New Roman" w:hAnsi="Times New Roman" w:cs="Times New Roman"/>
          <w:i/>
          <w:sz w:val="24"/>
          <w:szCs w:val="24"/>
        </w:rPr>
        <w:t xml:space="preserve">mexA, mexB, </w:t>
      </w:r>
      <w:r w:rsidR="00AE06BB" w:rsidRPr="008D15C7">
        <w:rPr>
          <w:rFonts w:ascii="Times New Roman" w:hAnsi="Times New Roman" w:cs="Times New Roman"/>
          <w:sz w:val="24"/>
          <w:szCs w:val="24"/>
        </w:rPr>
        <w:t xml:space="preserve">as well as the space between these two genes, will be looped out. </w:t>
      </w:r>
      <w:r w:rsidR="00BE6316" w:rsidRPr="008D15C7">
        <w:rPr>
          <w:rFonts w:ascii="Times New Roman" w:hAnsi="Times New Roman" w:cs="Times New Roman"/>
          <w:sz w:val="24"/>
          <w:szCs w:val="24"/>
        </w:rPr>
        <w:t>These colonies will then be grown in the presence of sucrose to select for colonies that have looped out the suicide plasmid</w:t>
      </w:r>
      <w:r w:rsidR="005B7B06">
        <w:rPr>
          <w:rFonts w:ascii="Times New Roman" w:hAnsi="Times New Roman" w:cs="Times New Roman"/>
          <w:sz w:val="24"/>
          <w:szCs w:val="24"/>
        </w:rPr>
        <w:t>,</w:t>
      </w:r>
      <w:r w:rsidR="00094AD7" w:rsidRPr="008D15C7">
        <w:rPr>
          <w:rFonts w:ascii="Times New Roman" w:hAnsi="Times New Roman" w:cs="Times New Roman"/>
          <w:sz w:val="24"/>
          <w:szCs w:val="24"/>
        </w:rPr>
        <w:t xml:space="preserve"> as the colonies that did not undergo the second recombination event, and therefore still express the </w:t>
      </w:r>
      <w:r w:rsidR="00094AD7" w:rsidRPr="008D15C7">
        <w:rPr>
          <w:rFonts w:ascii="Times New Roman" w:hAnsi="Times New Roman" w:cs="Times New Roman"/>
          <w:i/>
          <w:sz w:val="24"/>
          <w:szCs w:val="24"/>
        </w:rPr>
        <w:t>sacB</w:t>
      </w:r>
      <w:r w:rsidR="00094AD7" w:rsidRPr="008D15C7">
        <w:rPr>
          <w:rFonts w:ascii="Times New Roman" w:hAnsi="Times New Roman" w:cs="Times New Roman"/>
          <w:sz w:val="24"/>
          <w:szCs w:val="24"/>
        </w:rPr>
        <w:t xml:space="preserve"> gene, will be killed when grown with sucrose. This process is diagramed below in appendix 2. </w:t>
      </w:r>
      <w:r w:rsidR="003412FB" w:rsidRPr="008D15C7">
        <w:rPr>
          <w:rFonts w:ascii="Times New Roman" w:hAnsi="Times New Roman" w:cs="Times New Roman"/>
          <w:sz w:val="24"/>
          <w:szCs w:val="24"/>
        </w:rPr>
        <w:t xml:space="preserve">Finally, I will perform PCR on the colonies selected for via </w:t>
      </w:r>
      <w:r w:rsidR="00567AB0" w:rsidRPr="008D15C7">
        <w:rPr>
          <w:rFonts w:ascii="Times New Roman" w:hAnsi="Times New Roman" w:cs="Times New Roman"/>
          <w:i/>
          <w:sz w:val="24"/>
          <w:szCs w:val="24"/>
        </w:rPr>
        <w:t>sacB-</w:t>
      </w:r>
      <w:r w:rsidR="003412FB" w:rsidRPr="008D15C7">
        <w:rPr>
          <w:rFonts w:ascii="Times New Roman" w:hAnsi="Times New Roman" w:cs="Times New Roman"/>
          <w:sz w:val="24"/>
          <w:szCs w:val="24"/>
        </w:rPr>
        <w:t xml:space="preserve">mediated sucrose </w:t>
      </w:r>
      <w:r w:rsidR="00567AB0" w:rsidRPr="008D15C7">
        <w:rPr>
          <w:rFonts w:ascii="Times New Roman" w:hAnsi="Times New Roman" w:cs="Times New Roman"/>
          <w:sz w:val="24"/>
          <w:szCs w:val="24"/>
        </w:rPr>
        <w:t>counter-</w:t>
      </w:r>
      <w:r w:rsidR="003412FB" w:rsidRPr="008D15C7">
        <w:rPr>
          <w:rFonts w:ascii="Times New Roman" w:hAnsi="Times New Roman" w:cs="Times New Roman"/>
          <w:sz w:val="24"/>
          <w:szCs w:val="24"/>
        </w:rPr>
        <w:t xml:space="preserve">selection. If the resulting band </w:t>
      </w:r>
      <w:r w:rsidR="00797EED" w:rsidRPr="008D15C7">
        <w:rPr>
          <w:rFonts w:ascii="Times New Roman" w:hAnsi="Times New Roman" w:cs="Times New Roman"/>
          <w:sz w:val="24"/>
          <w:szCs w:val="24"/>
        </w:rPr>
        <w:t>is shorter than the wild type</w:t>
      </w:r>
      <w:r w:rsidR="00D652B6" w:rsidRPr="008D15C7">
        <w:rPr>
          <w:rFonts w:ascii="Times New Roman" w:hAnsi="Times New Roman" w:cs="Times New Roman"/>
          <w:sz w:val="24"/>
          <w:szCs w:val="24"/>
        </w:rPr>
        <w:t xml:space="preserve"> band, then I can conclude that the deletion was </w:t>
      </w:r>
      <w:r w:rsidR="00130806" w:rsidRPr="008D15C7">
        <w:rPr>
          <w:rFonts w:ascii="Times New Roman" w:hAnsi="Times New Roman" w:cs="Times New Roman"/>
          <w:sz w:val="24"/>
          <w:szCs w:val="24"/>
        </w:rPr>
        <w:t>successful,</w:t>
      </w:r>
      <w:r w:rsidR="00D652B6" w:rsidRPr="008D15C7">
        <w:rPr>
          <w:rFonts w:ascii="Times New Roman" w:hAnsi="Times New Roman" w:cs="Times New Roman"/>
          <w:sz w:val="24"/>
          <w:szCs w:val="24"/>
        </w:rPr>
        <w:t xml:space="preserve"> and these colonies are expressing the deletion genotype. </w:t>
      </w:r>
    </w:p>
    <w:p w14:paraId="3A05A262" w14:textId="59AEC413" w:rsidR="00130806" w:rsidRPr="008D15C7" w:rsidRDefault="00130806" w:rsidP="008D15C7">
      <w:pPr>
        <w:shd w:val="clear" w:color="auto" w:fill="FFFFFF"/>
        <w:tabs>
          <w:tab w:val="num" w:pos="720"/>
        </w:tabs>
        <w:snapToGrid w:val="0"/>
        <w:spacing w:after="0" w:line="240" w:lineRule="auto"/>
        <w:contextualSpacing/>
        <w:rPr>
          <w:rFonts w:ascii="Times New Roman" w:hAnsi="Times New Roman" w:cs="Times New Roman"/>
          <w:sz w:val="24"/>
          <w:szCs w:val="24"/>
        </w:rPr>
      </w:pPr>
      <w:r w:rsidRPr="008D15C7">
        <w:rPr>
          <w:rFonts w:ascii="Times New Roman" w:hAnsi="Times New Roman" w:cs="Times New Roman"/>
          <w:sz w:val="24"/>
          <w:szCs w:val="24"/>
        </w:rPr>
        <w:tab/>
        <w:t xml:space="preserve">The last step of this project </w:t>
      </w:r>
      <w:r w:rsidR="00A542E8" w:rsidRPr="008D15C7">
        <w:rPr>
          <w:rFonts w:ascii="Times New Roman" w:hAnsi="Times New Roman" w:cs="Times New Roman"/>
          <w:sz w:val="24"/>
          <w:szCs w:val="24"/>
        </w:rPr>
        <w:t>is to test the minimal inhibitory concentration of the mutants expressing the desired deletion genotype using</w:t>
      </w:r>
      <w:r w:rsidR="003B1F2F" w:rsidRPr="008D15C7">
        <w:rPr>
          <w:rFonts w:ascii="Times New Roman" w:hAnsi="Times New Roman" w:cs="Times New Roman"/>
          <w:sz w:val="24"/>
          <w:szCs w:val="24"/>
        </w:rPr>
        <w:t xml:space="preserve"> the antimicrobial</w:t>
      </w:r>
      <w:r w:rsidR="00A542E8" w:rsidRPr="008D15C7">
        <w:rPr>
          <w:rFonts w:ascii="Times New Roman" w:hAnsi="Times New Roman" w:cs="Times New Roman"/>
          <w:sz w:val="24"/>
          <w:szCs w:val="24"/>
        </w:rPr>
        <w:t xml:space="preserve"> triclosan </w:t>
      </w:r>
      <w:r w:rsidR="007524C2" w:rsidRPr="008D15C7">
        <w:rPr>
          <w:rFonts w:ascii="Times New Roman" w:hAnsi="Times New Roman" w:cs="Times New Roman"/>
          <w:sz w:val="24"/>
          <w:szCs w:val="24"/>
        </w:rPr>
        <w:t xml:space="preserve">(TCS) </w:t>
      </w:r>
      <w:r w:rsidR="00A542E8" w:rsidRPr="008D15C7">
        <w:rPr>
          <w:rFonts w:ascii="Times New Roman" w:hAnsi="Times New Roman" w:cs="Times New Roman"/>
          <w:sz w:val="24"/>
          <w:szCs w:val="24"/>
        </w:rPr>
        <w:t>and</w:t>
      </w:r>
      <w:r w:rsidR="003B1F2F" w:rsidRPr="008D15C7">
        <w:rPr>
          <w:rFonts w:ascii="Times New Roman" w:hAnsi="Times New Roman" w:cs="Times New Roman"/>
          <w:sz w:val="24"/>
          <w:szCs w:val="24"/>
        </w:rPr>
        <w:t xml:space="preserve"> the antibiotic</w:t>
      </w:r>
      <w:r w:rsidR="00A542E8" w:rsidRPr="008D15C7">
        <w:rPr>
          <w:rFonts w:ascii="Times New Roman" w:hAnsi="Times New Roman" w:cs="Times New Roman"/>
          <w:sz w:val="24"/>
          <w:szCs w:val="24"/>
        </w:rPr>
        <w:t xml:space="preserve"> tetracycline. </w:t>
      </w:r>
      <w:r w:rsidR="00131ACA" w:rsidRPr="008D15C7">
        <w:rPr>
          <w:rFonts w:ascii="Times New Roman" w:hAnsi="Times New Roman" w:cs="Times New Roman"/>
          <w:sz w:val="24"/>
          <w:szCs w:val="24"/>
        </w:rPr>
        <w:t xml:space="preserve">This will be performed by growing </w:t>
      </w:r>
      <w:r w:rsidR="00E571D2" w:rsidRPr="008D15C7">
        <w:rPr>
          <w:rFonts w:ascii="Times New Roman" w:hAnsi="Times New Roman" w:cs="Times New Roman"/>
          <w:sz w:val="24"/>
          <w:szCs w:val="24"/>
        </w:rPr>
        <w:t>57B2</w:t>
      </w:r>
      <w:r w:rsidR="00E571D2" w:rsidRPr="008D15C7">
        <w:rPr>
          <w:rFonts w:ascii="Times New Roman" w:hAnsi="Times New Roman" w:cs="Times New Roman"/>
          <w:bCs/>
          <w:sz w:val="24"/>
          <w:szCs w:val="24"/>
        </w:rPr>
        <w:t>Δ</w:t>
      </w:r>
      <w:r w:rsidR="00E571D2" w:rsidRPr="008D15C7">
        <w:rPr>
          <w:rFonts w:ascii="Times New Roman" w:hAnsi="Times New Roman" w:cs="Times New Roman"/>
          <w:bCs/>
          <w:i/>
          <w:sz w:val="24"/>
          <w:szCs w:val="24"/>
        </w:rPr>
        <w:t>mexA</w:t>
      </w:r>
      <w:r w:rsidR="00E571D2" w:rsidRPr="008D15C7">
        <w:rPr>
          <w:rFonts w:ascii="Times New Roman" w:hAnsi="Times New Roman" w:cs="Times New Roman"/>
          <w:bCs/>
          <w:sz w:val="24"/>
          <w:szCs w:val="24"/>
        </w:rPr>
        <w:t xml:space="preserve"> </w:t>
      </w:r>
      <w:r w:rsidR="00131ACA" w:rsidRPr="008D15C7">
        <w:rPr>
          <w:rFonts w:ascii="Times New Roman" w:hAnsi="Times New Roman" w:cs="Times New Roman"/>
          <w:sz w:val="24"/>
          <w:szCs w:val="24"/>
        </w:rPr>
        <w:t>colonies and wild</w:t>
      </w:r>
      <w:r w:rsidR="00E571D2" w:rsidRPr="008D15C7">
        <w:rPr>
          <w:rFonts w:ascii="Times New Roman" w:hAnsi="Times New Roman" w:cs="Times New Roman"/>
          <w:sz w:val="24"/>
          <w:szCs w:val="24"/>
        </w:rPr>
        <w:t>-</w:t>
      </w:r>
      <w:r w:rsidR="00131ACA" w:rsidRPr="008D15C7">
        <w:rPr>
          <w:rFonts w:ascii="Times New Roman" w:hAnsi="Times New Roman" w:cs="Times New Roman"/>
          <w:sz w:val="24"/>
          <w:szCs w:val="24"/>
        </w:rPr>
        <w:t xml:space="preserve">type colonies in increasingly dilute </w:t>
      </w:r>
      <w:r w:rsidR="007524C2" w:rsidRPr="008D15C7">
        <w:rPr>
          <w:rFonts w:ascii="Times New Roman" w:hAnsi="Times New Roman" w:cs="Times New Roman"/>
          <w:sz w:val="24"/>
          <w:szCs w:val="24"/>
        </w:rPr>
        <w:t>concentrations of TCS</w:t>
      </w:r>
      <w:r w:rsidR="00905213" w:rsidRPr="008D15C7">
        <w:rPr>
          <w:rFonts w:ascii="Times New Roman" w:hAnsi="Times New Roman" w:cs="Times New Roman"/>
          <w:sz w:val="24"/>
          <w:szCs w:val="24"/>
        </w:rPr>
        <w:t xml:space="preserve"> </w:t>
      </w:r>
      <w:r w:rsidR="00684363" w:rsidRPr="008D15C7">
        <w:rPr>
          <w:rFonts w:ascii="Times New Roman" w:hAnsi="Times New Roman" w:cs="Times New Roman"/>
          <w:sz w:val="24"/>
          <w:szCs w:val="24"/>
        </w:rPr>
        <w:t>or</w:t>
      </w:r>
      <w:r w:rsidR="00905213" w:rsidRPr="008D15C7">
        <w:rPr>
          <w:rFonts w:ascii="Times New Roman" w:hAnsi="Times New Roman" w:cs="Times New Roman"/>
          <w:sz w:val="24"/>
          <w:szCs w:val="24"/>
        </w:rPr>
        <w:t xml:space="preserve"> tetracycline</w:t>
      </w:r>
      <w:r w:rsidR="007524C2" w:rsidRPr="008D15C7">
        <w:rPr>
          <w:rFonts w:ascii="Times New Roman" w:hAnsi="Times New Roman" w:cs="Times New Roman"/>
          <w:sz w:val="24"/>
          <w:szCs w:val="24"/>
        </w:rPr>
        <w:t xml:space="preserve">. If the mutant colonies have a lower MIC when compared to the wild type, then the deletion shows that the </w:t>
      </w:r>
      <w:r w:rsidR="006F5CF2" w:rsidRPr="008D15C7">
        <w:rPr>
          <w:rFonts w:ascii="Times New Roman" w:hAnsi="Times New Roman" w:cs="Times New Roman"/>
          <w:sz w:val="24"/>
          <w:szCs w:val="24"/>
        </w:rPr>
        <w:t xml:space="preserve">MexAB-OprM homolog </w:t>
      </w:r>
      <w:r w:rsidR="007524C2" w:rsidRPr="008D15C7">
        <w:rPr>
          <w:rFonts w:ascii="Times New Roman" w:hAnsi="Times New Roman" w:cs="Times New Roman"/>
          <w:sz w:val="24"/>
          <w:szCs w:val="24"/>
        </w:rPr>
        <w:t>contributes to resistance</w:t>
      </w:r>
      <w:r w:rsidR="00905213" w:rsidRPr="008D15C7">
        <w:rPr>
          <w:rFonts w:ascii="Times New Roman" w:hAnsi="Times New Roman" w:cs="Times New Roman"/>
          <w:sz w:val="24"/>
          <w:szCs w:val="24"/>
        </w:rPr>
        <w:t>.</w:t>
      </w:r>
      <w:r w:rsidR="006F5CF2" w:rsidRPr="008D15C7">
        <w:rPr>
          <w:rFonts w:ascii="Times New Roman" w:hAnsi="Times New Roman" w:cs="Times New Roman"/>
          <w:sz w:val="24"/>
          <w:szCs w:val="24"/>
        </w:rPr>
        <w:t xml:space="preserve"> This result would indicate further need to characterize atypical homologous operons</w:t>
      </w:r>
      <w:r w:rsidR="00C90B6D" w:rsidRPr="008D15C7">
        <w:rPr>
          <w:rFonts w:ascii="Times New Roman" w:hAnsi="Times New Roman" w:cs="Times New Roman"/>
          <w:sz w:val="24"/>
          <w:szCs w:val="24"/>
        </w:rPr>
        <w:t xml:space="preserve"> and how they may be regulated to respond to antibiotics in the absence of a proximal regulator.</w:t>
      </w:r>
      <w:r w:rsidR="00905213" w:rsidRPr="008D15C7">
        <w:rPr>
          <w:rFonts w:ascii="Times New Roman" w:hAnsi="Times New Roman" w:cs="Times New Roman"/>
          <w:sz w:val="24"/>
          <w:szCs w:val="24"/>
        </w:rPr>
        <w:t xml:space="preserve"> However, if the mutant and wildtypes exhibit the same MIC for both TCS and tetracycline, </w:t>
      </w:r>
      <w:r w:rsidR="001A2C12" w:rsidRPr="008D15C7">
        <w:rPr>
          <w:rFonts w:ascii="Times New Roman" w:hAnsi="Times New Roman" w:cs="Times New Roman"/>
          <w:sz w:val="24"/>
          <w:szCs w:val="24"/>
        </w:rPr>
        <w:t xml:space="preserve">it is likely that the efflux pump in </w:t>
      </w:r>
      <w:r w:rsidR="001A2C12" w:rsidRPr="008D15C7">
        <w:rPr>
          <w:rFonts w:ascii="Times New Roman" w:hAnsi="Times New Roman" w:cs="Times New Roman"/>
          <w:i/>
          <w:sz w:val="24"/>
          <w:szCs w:val="24"/>
        </w:rPr>
        <w:t>P. stutzeri</w:t>
      </w:r>
      <w:r w:rsidR="001A2C12" w:rsidRPr="008D15C7">
        <w:rPr>
          <w:rFonts w:ascii="Times New Roman" w:hAnsi="Times New Roman" w:cs="Times New Roman"/>
          <w:sz w:val="24"/>
          <w:szCs w:val="24"/>
        </w:rPr>
        <w:t xml:space="preserve"> does not efflux TCS or tetracycline. This may be a result of the atypical operon structure</w:t>
      </w:r>
      <w:r w:rsidR="00301B52" w:rsidRPr="008D15C7">
        <w:rPr>
          <w:rFonts w:ascii="Times New Roman" w:hAnsi="Times New Roman" w:cs="Times New Roman"/>
          <w:sz w:val="24"/>
          <w:szCs w:val="24"/>
        </w:rPr>
        <w:t xml:space="preserve"> and differences in sequence identity with </w:t>
      </w:r>
      <w:r w:rsidR="00301B52" w:rsidRPr="008D15C7">
        <w:rPr>
          <w:rFonts w:ascii="Times New Roman" w:hAnsi="Times New Roman" w:cs="Times New Roman"/>
          <w:i/>
          <w:sz w:val="24"/>
          <w:szCs w:val="24"/>
        </w:rPr>
        <w:t xml:space="preserve">P. </w:t>
      </w:r>
      <w:r w:rsidR="009B24CA" w:rsidRPr="008D15C7">
        <w:rPr>
          <w:rFonts w:ascii="Times New Roman" w:hAnsi="Times New Roman" w:cs="Times New Roman"/>
          <w:i/>
          <w:sz w:val="24"/>
          <w:szCs w:val="24"/>
        </w:rPr>
        <w:t>aeruginosa</w:t>
      </w:r>
      <w:r w:rsidR="00301B52" w:rsidRPr="008D15C7">
        <w:rPr>
          <w:rFonts w:ascii="Times New Roman" w:hAnsi="Times New Roman" w:cs="Times New Roman"/>
          <w:sz w:val="24"/>
          <w:szCs w:val="24"/>
        </w:rPr>
        <w:t xml:space="preserve"> may be explored to identify potential reasons for lack of substrate specificity to these two chemicals</w:t>
      </w:r>
      <w:r w:rsidR="001A2C12" w:rsidRPr="008D15C7">
        <w:rPr>
          <w:rFonts w:ascii="Times New Roman" w:hAnsi="Times New Roman" w:cs="Times New Roman"/>
          <w:sz w:val="24"/>
          <w:szCs w:val="24"/>
        </w:rPr>
        <w:t xml:space="preserve">. </w:t>
      </w:r>
    </w:p>
    <w:p w14:paraId="0B9607C0" w14:textId="20A4E10D" w:rsidR="007E5D1C" w:rsidRPr="008D15C7" w:rsidRDefault="007E5D1C" w:rsidP="008D15C7">
      <w:pPr>
        <w:shd w:val="clear" w:color="auto" w:fill="FFFFFF"/>
        <w:tabs>
          <w:tab w:val="num" w:pos="720"/>
        </w:tabs>
        <w:snapToGrid w:val="0"/>
        <w:spacing w:after="0" w:line="240" w:lineRule="auto"/>
        <w:contextualSpacing/>
        <w:rPr>
          <w:rFonts w:ascii="Times New Roman" w:hAnsi="Times New Roman" w:cs="Times New Roman"/>
          <w:sz w:val="24"/>
          <w:szCs w:val="24"/>
        </w:rPr>
      </w:pPr>
      <w:r w:rsidRPr="008D15C7">
        <w:rPr>
          <w:rFonts w:ascii="Times New Roman" w:hAnsi="Times New Roman" w:cs="Times New Roman"/>
          <w:sz w:val="24"/>
          <w:szCs w:val="24"/>
        </w:rPr>
        <w:tab/>
        <w:t xml:space="preserve">To prepare for this lab work, I have completed the biology 220 laboratory, general chemistry 121 laboratory, organic chemistry 230 laboratory sequences as well as courses in genetics, cell biology, physiology, animal physiology, biochemistry, organic chemistry, general chemistry and international public health. </w:t>
      </w:r>
      <w:r w:rsidR="006C154E" w:rsidRPr="008D15C7">
        <w:rPr>
          <w:rFonts w:ascii="Times New Roman" w:hAnsi="Times New Roman" w:cs="Times New Roman"/>
          <w:sz w:val="24"/>
          <w:szCs w:val="24"/>
        </w:rPr>
        <w:t xml:space="preserve">In addition to class work, I also have hands on laboratory experience </w:t>
      </w:r>
      <w:r w:rsidR="007640B9" w:rsidRPr="008D15C7">
        <w:rPr>
          <w:rFonts w:ascii="Times New Roman" w:hAnsi="Times New Roman" w:cs="Times New Roman"/>
          <w:sz w:val="24"/>
          <w:szCs w:val="24"/>
        </w:rPr>
        <w:t xml:space="preserve">being enrolled in </w:t>
      </w:r>
      <w:r w:rsidRPr="008D15C7">
        <w:rPr>
          <w:rFonts w:ascii="Times New Roman" w:hAnsi="Times New Roman" w:cs="Times New Roman"/>
          <w:sz w:val="24"/>
          <w:szCs w:val="24"/>
        </w:rPr>
        <w:t xml:space="preserve">civil and environmental engineering 399 with Dr. Hartmann for </w:t>
      </w:r>
      <w:r w:rsidR="004C1C0F" w:rsidRPr="008D15C7">
        <w:rPr>
          <w:rFonts w:ascii="Times New Roman" w:hAnsi="Times New Roman" w:cs="Times New Roman"/>
          <w:sz w:val="24"/>
          <w:szCs w:val="24"/>
        </w:rPr>
        <w:t>3</w:t>
      </w:r>
      <w:r w:rsidRPr="008D15C7">
        <w:rPr>
          <w:rFonts w:ascii="Times New Roman" w:hAnsi="Times New Roman" w:cs="Times New Roman"/>
          <w:sz w:val="24"/>
          <w:szCs w:val="24"/>
        </w:rPr>
        <w:t xml:space="preserve"> quarters</w:t>
      </w:r>
      <w:r w:rsidR="007640B9" w:rsidRPr="008D15C7">
        <w:rPr>
          <w:rFonts w:ascii="Times New Roman" w:hAnsi="Times New Roman" w:cs="Times New Roman"/>
          <w:sz w:val="24"/>
          <w:szCs w:val="24"/>
        </w:rPr>
        <w:t xml:space="preserve"> and conducting independent research in the lab</w:t>
      </w:r>
      <w:r w:rsidR="004C1C0F" w:rsidRPr="008D15C7">
        <w:rPr>
          <w:rFonts w:ascii="Times New Roman" w:hAnsi="Times New Roman" w:cs="Times New Roman"/>
          <w:sz w:val="24"/>
          <w:szCs w:val="24"/>
        </w:rPr>
        <w:t>. During my time researching at this lab</w:t>
      </w:r>
      <w:r w:rsidR="00822B24" w:rsidRPr="008D15C7">
        <w:rPr>
          <w:rFonts w:ascii="Times New Roman" w:hAnsi="Times New Roman" w:cs="Times New Roman"/>
          <w:sz w:val="24"/>
          <w:szCs w:val="24"/>
        </w:rPr>
        <w:t xml:space="preserve">, I have helped trouble shoot and develop a protocol for transposon mutagenesis in order to characterize </w:t>
      </w:r>
      <w:r w:rsidR="00A34DE5" w:rsidRPr="008D15C7">
        <w:rPr>
          <w:rFonts w:ascii="Times New Roman" w:hAnsi="Times New Roman" w:cs="Times New Roman"/>
          <w:sz w:val="24"/>
          <w:szCs w:val="24"/>
        </w:rPr>
        <w:t xml:space="preserve">the relationship between the </w:t>
      </w:r>
      <w:r w:rsidR="00A34DE5" w:rsidRPr="008D15C7">
        <w:rPr>
          <w:rFonts w:ascii="Times New Roman" w:hAnsi="Times New Roman" w:cs="Times New Roman"/>
          <w:i/>
          <w:sz w:val="24"/>
          <w:szCs w:val="24"/>
        </w:rPr>
        <w:t>mexAB-oprM</w:t>
      </w:r>
      <w:r w:rsidR="007328F2" w:rsidRPr="008D15C7">
        <w:rPr>
          <w:rFonts w:ascii="Times New Roman" w:hAnsi="Times New Roman" w:cs="Times New Roman"/>
          <w:sz w:val="24"/>
          <w:szCs w:val="24"/>
        </w:rPr>
        <w:t xml:space="preserve"> operon and triclosan resistance</w:t>
      </w:r>
      <w:r w:rsidR="00453602" w:rsidRPr="008D15C7">
        <w:rPr>
          <w:rFonts w:ascii="Times New Roman" w:hAnsi="Times New Roman" w:cs="Times New Roman"/>
          <w:sz w:val="24"/>
          <w:szCs w:val="24"/>
        </w:rPr>
        <w:t xml:space="preserve"> in 56A10, an isolate of </w:t>
      </w:r>
      <w:r w:rsidR="00453602" w:rsidRPr="008D15C7">
        <w:rPr>
          <w:rFonts w:ascii="Times New Roman" w:hAnsi="Times New Roman" w:cs="Times New Roman"/>
          <w:i/>
          <w:sz w:val="24"/>
          <w:szCs w:val="24"/>
        </w:rPr>
        <w:t>P. fulva</w:t>
      </w:r>
      <w:r w:rsidR="00453602" w:rsidRPr="008D15C7">
        <w:rPr>
          <w:rFonts w:ascii="Times New Roman" w:hAnsi="Times New Roman" w:cs="Times New Roman"/>
          <w:sz w:val="24"/>
          <w:szCs w:val="24"/>
        </w:rPr>
        <w:t>.</w:t>
      </w:r>
      <w:r w:rsidRPr="008D15C7">
        <w:rPr>
          <w:rFonts w:ascii="Times New Roman" w:hAnsi="Times New Roman" w:cs="Times New Roman"/>
          <w:sz w:val="24"/>
          <w:szCs w:val="24"/>
        </w:rPr>
        <w:t xml:space="preserve"> </w:t>
      </w:r>
      <w:r w:rsidR="007328F2" w:rsidRPr="008D15C7">
        <w:rPr>
          <w:rFonts w:ascii="Times New Roman" w:hAnsi="Times New Roman" w:cs="Times New Roman"/>
          <w:sz w:val="24"/>
          <w:szCs w:val="24"/>
        </w:rPr>
        <w:t xml:space="preserve">Finally, I </w:t>
      </w:r>
      <w:r w:rsidRPr="008D15C7">
        <w:rPr>
          <w:rFonts w:ascii="Times New Roman" w:hAnsi="Times New Roman" w:cs="Times New Roman"/>
          <w:sz w:val="24"/>
          <w:szCs w:val="24"/>
        </w:rPr>
        <w:t>am currently enrolled in advanced cell biology and microbiology</w:t>
      </w:r>
      <w:r w:rsidR="007328F2" w:rsidRPr="008D15C7">
        <w:rPr>
          <w:rFonts w:ascii="Times New Roman" w:hAnsi="Times New Roman" w:cs="Times New Roman"/>
          <w:sz w:val="24"/>
          <w:szCs w:val="24"/>
        </w:rPr>
        <w:t xml:space="preserve"> and next quarter will be enrolled in immunobiology and molecular microbiology</w:t>
      </w:r>
      <w:r w:rsidRPr="008D15C7">
        <w:rPr>
          <w:rFonts w:ascii="Times New Roman" w:hAnsi="Times New Roman" w:cs="Times New Roman"/>
          <w:sz w:val="24"/>
          <w:szCs w:val="24"/>
        </w:rPr>
        <w:t xml:space="preserve">. Each of these courses has helped me learn the skills necessary to complete this research project. In the future, I would like to continue to study microbiology to better understand the mechanisms behind antibiotic resistance and the dangers of infectious pathogens. As both of these topics are an increasing threat to public health and are especially threatening to vulnerable populations such as hospitalized persons and those who are immunocompromised, I intend to pursue a degree in microbiology to further understand the pathogens posing these threats. I hope to use this information to discover new ways to combat antibiotic resistance and other virulent pathogens threatening our public and global health.  </w:t>
      </w:r>
    </w:p>
    <w:p w14:paraId="17587F6F" w14:textId="577C625D" w:rsidR="00EE5574" w:rsidRPr="008D15C7" w:rsidRDefault="00EE5574" w:rsidP="008D15C7">
      <w:pPr>
        <w:shd w:val="clear" w:color="auto" w:fill="FFFFFF"/>
        <w:tabs>
          <w:tab w:val="num" w:pos="720"/>
        </w:tabs>
        <w:snapToGrid w:val="0"/>
        <w:spacing w:before="225" w:after="100" w:afterAutospacing="1" w:line="240" w:lineRule="auto"/>
        <w:ind w:hanging="360"/>
        <w:contextualSpacing/>
        <w:rPr>
          <w:rFonts w:ascii="Times New Roman" w:hAnsi="Times New Roman" w:cs="Times New Roman"/>
          <w:sz w:val="24"/>
          <w:szCs w:val="24"/>
        </w:rPr>
      </w:pPr>
    </w:p>
    <w:p w14:paraId="56828E5D" w14:textId="4CDBDB40"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2976F42D" w14:textId="53823897" w:rsidR="008D0A18" w:rsidRDefault="008D0A18"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45C1D551" w14:textId="382163CF" w:rsidR="008D0A18" w:rsidRDefault="008D0A18"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73FEDECD" w14:textId="13B6602D" w:rsidR="008D0A18" w:rsidRDefault="008D0A18"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56946202" w14:textId="77777777" w:rsidR="008D0A18" w:rsidRDefault="008D0A18"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3D9A7AB9" w14:textId="705A6285" w:rsidR="00FB1130" w:rsidRPr="008D15C7" w:rsidRDefault="00E41677"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r w:rsidRPr="008D15C7">
        <w:rPr>
          <w:rFonts w:ascii="Times New Roman" w:eastAsia="Times New Roman" w:hAnsi="Times New Roman" w:cs="Times New Roman"/>
          <w:b/>
          <w:color w:val="434343"/>
          <w:sz w:val="24"/>
          <w:szCs w:val="24"/>
          <w:u w:val="single"/>
        </w:rPr>
        <w:lastRenderedPageBreak/>
        <w:t>Appendix 1</w:t>
      </w:r>
      <w:r w:rsidR="009B24CA" w:rsidRPr="008D15C7">
        <w:rPr>
          <w:rFonts w:ascii="Times New Roman" w:eastAsia="Times New Roman" w:hAnsi="Times New Roman" w:cs="Times New Roman"/>
          <w:b/>
          <w:color w:val="434343"/>
          <w:sz w:val="24"/>
          <w:szCs w:val="24"/>
          <w:u w:val="single"/>
        </w:rPr>
        <w:t xml:space="preserve">: </w:t>
      </w:r>
      <w:r w:rsidR="00FB1130" w:rsidRPr="008D15C7">
        <w:rPr>
          <w:rFonts w:ascii="Times New Roman" w:eastAsia="Times New Roman" w:hAnsi="Times New Roman" w:cs="Times New Roman"/>
          <w:b/>
          <w:color w:val="434343"/>
          <w:sz w:val="24"/>
          <w:szCs w:val="24"/>
          <w:u w:val="single"/>
        </w:rPr>
        <w:t>References</w:t>
      </w:r>
    </w:p>
    <w:p w14:paraId="41D69035" w14:textId="63700C62" w:rsidR="009833C2" w:rsidRPr="008D15C7" w:rsidRDefault="00FF7A19" w:rsidP="008D15C7">
      <w:pPr>
        <w:pStyle w:val="ListParagraph"/>
        <w:numPr>
          <w:ilvl w:val="0"/>
          <w:numId w:val="2"/>
        </w:numPr>
        <w:spacing w:after="150" w:line="240" w:lineRule="auto"/>
        <w:rPr>
          <w:rFonts w:ascii="Times New Roman" w:eastAsia="Times New Roman" w:hAnsi="Times New Roman" w:cs="Times New Roman"/>
          <w:color w:val="333333"/>
          <w:sz w:val="24"/>
          <w:szCs w:val="24"/>
        </w:rPr>
      </w:pPr>
      <w:r w:rsidRPr="008D15C7">
        <w:rPr>
          <w:rFonts w:ascii="Times New Roman" w:eastAsia="Times New Roman" w:hAnsi="Times New Roman" w:cs="Times New Roman"/>
          <w:color w:val="333333"/>
          <w:sz w:val="24"/>
          <w:szCs w:val="24"/>
        </w:rPr>
        <w:t>Sánchez, Patricia, et al. “Transcriptional Regulation of MexR , the Repressor of Pseudomonas Aeruginosa MexAB-OprM Multidrug Efflux Pump.” </w:t>
      </w:r>
      <w:r w:rsidRPr="008D15C7">
        <w:rPr>
          <w:rFonts w:ascii="Times New Roman" w:eastAsia="Times New Roman" w:hAnsi="Times New Roman" w:cs="Times New Roman"/>
          <w:i/>
          <w:iCs/>
          <w:color w:val="333333"/>
          <w:sz w:val="24"/>
          <w:szCs w:val="24"/>
        </w:rPr>
        <w:t>OUP Academic</w:t>
      </w:r>
      <w:r w:rsidRPr="008D15C7">
        <w:rPr>
          <w:rFonts w:ascii="Times New Roman" w:eastAsia="Times New Roman" w:hAnsi="Times New Roman" w:cs="Times New Roman"/>
          <w:color w:val="333333"/>
          <w:sz w:val="24"/>
          <w:szCs w:val="24"/>
        </w:rPr>
        <w:t>, Oxford University Press, 1 Jan. 2002, academic.oup.com/femsle/article/207/1/63/572231.</w:t>
      </w:r>
    </w:p>
    <w:p w14:paraId="7D3E7BA7" w14:textId="0275C52B" w:rsidR="00D15CEE" w:rsidRPr="008D15C7" w:rsidRDefault="009833C2" w:rsidP="008D15C7">
      <w:pPr>
        <w:pStyle w:val="ListParagraph"/>
        <w:numPr>
          <w:ilvl w:val="0"/>
          <w:numId w:val="2"/>
        </w:numPr>
        <w:spacing w:after="150" w:line="240" w:lineRule="auto"/>
        <w:rPr>
          <w:rFonts w:ascii="Times New Roman" w:eastAsia="Times New Roman" w:hAnsi="Times New Roman" w:cs="Times New Roman"/>
          <w:color w:val="333333"/>
          <w:sz w:val="24"/>
          <w:szCs w:val="24"/>
        </w:rPr>
      </w:pPr>
      <w:r w:rsidRPr="008D15C7">
        <w:rPr>
          <w:rFonts w:ascii="Times New Roman" w:hAnsi="Times New Roman" w:cs="Times New Roman"/>
          <w:sz w:val="24"/>
          <w:szCs w:val="24"/>
        </w:rPr>
        <w:t>Chen, Hao &amp; Yi, Chengqi &amp; Zhang, Jin &amp; Zhang, Wenru &amp; Ge, Zhiyun &amp; Yang, Cai-Guang &amp; He, Chuan. (2010). Structural insight into the oxidation-sensing mechanism of the antibiotic resistance of regulator MexR. EMBO reports. 11. 10.1038/embor.2010.129.</w:t>
      </w:r>
    </w:p>
    <w:p w14:paraId="2FFBEF12" w14:textId="54B04370" w:rsidR="00805550" w:rsidRPr="008D15C7" w:rsidRDefault="00805550" w:rsidP="008D15C7">
      <w:pPr>
        <w:pStyle w:val="ListParagraph"/>
        <w:numPr>
          <w:ilvl w:val="0"/>
          <w:numId w:val="2"/>
        </w:numPr>
        <w:spacing w:after="0" w:line="240" w:lineRule="auto"/>
        <w:rPr>
          <w:rFonts w:ascii="Times New Roman" w:eastAsia="Times New Roman" w:hAnsi="Times New Roman" w:cs="Times New Roman"/>
          <w:sz w:val="24"/>
          <w:szCs w:val="24"/>
        </w:rPr>
      </w:pPr>
      <w:r w:rsidRPr="008D15C7">
        <w:rPr>
          <w:rFonts w:ascii="Times New Roman" w:eastAsia="Times New Roman" w:hAnsi="Times New Roman" w:cs="Times New Roman"/>
          <w:color w:val="333333"/>
          <w:sz w:val="24"/>
          <w:szCs w:val="24"/>
          <w:shd w:val="clear" w:color="auto" w:fill="FFFFFF"/>
        </w:rPr>
        <w:t>Nikaido, Hiroshi. “Multidrug Efflux Pumps of Gram-Negative Bacteria.” </w:t>
      </w:r>
      <w:r w:rsidRPr="008D15C7">
        <w:rPr>
          <w:rFonts w:ascii="Times New Roman" w:eastAsia="Times New Roman" w:hAnsi="Times New Roman" w:cs="Times New Roman"/>
          <w:i/>
          <w:iCs/>
          <w:color w:val="333333"/>
          <w:sz w:val="24"/>
          <w:szCs w:val="24"/>
          <w:shd w:val="clear" w:color="auto" w:fill="FFFFFF"/>
        </w:rPr>
        <w:t>Journal of Bacteriology</w:t>
      </w:r>
      <w:r w:rsidRPr="008D15C7">
        <w:rPr>
          <w:rFonts w:ascii="Times New Roman" w:eastAsia="Times New Roman" w:hAnsi="Times New Roman" w:cs="Times New Roman"/>
          <w:color w:val="333333"/>
          <w:sz w:val="24"/>
          <w:szCs w:val="24"/>
          <w:shd w:val="clear" w:color="auto" w:fill="FFFFFF"/>
        </w:rPr>
        <w:t>, Department of Molecular and Cell Biology, University of California, Berkeley, California , Oct. 1996, jb.asm.org/content/jb/178/20/5853.full.pdf.</w:t>
      </w:r>
    </w:p>
    <w:p w14:paraId="4DBEB425" w14:textId="1D6F593E" w:rsidR="00E876FD" w:rsidRPr="008D15C7" w:rsidRDefault="00E876FD" w:rsidP="008D15C7">
      <w:pPr>
        <w:pStyle w:val="ListParagraph"/>
        <w:numPr>
          <w:ilvl w:val="0"/>
          <w:numId w:val="2"/>
        </w:numPr>
        <w:spacing w:after="0" w:line="240" w:lineRule="auto"/>
        <w:rPr>
          <w:rFonts w:ascii="Times New Roman" w:eastAsia="Times New Roman" w:hAnsi="Times New Roman" w:cs="Times New Roman"/>
          <w:sz w:val="24"/>
          <w:szCs w:val="24"/>
        </w:rPr>
      </w:pPr>
      <w:r w:rsidRPr="008D15C7">
        <w:rPr>
          <w:rFonts w:ascii="Times New Roman" w:eastAsia="Times New Roman" w:hAnsi="Times New Roman" w:cs="Times New Roman"/>
          <w:color w:val="2A2A2A"/>
          <w:sz w:val="24"/>
          <w:szCs w:val="24"/>
          <w:shd w:val="clear" w:color="auto" w:fill="FFFFFF"/>
        </w:rPr>
        <w:t>Florence Jude, Corinne Arpin, Céline Brachet-Castang, Michèle Capdepuy, Pierre Caumette, Claudine Quentin; TbtABM, a multidrug efflux pump associated with tributyltin resistance in </w:t>
      </w:r>
      <w:r w:rsidRPr="008D15C7">
        <w:rPr>
          <w:rFonts w:ascii="Times New Roman" w:eastAsia="Times New Roman" w:hAnsi="Times New Roman" w:cs="Times New Roman"/>
          <w:i/>
          <w:iCs/>
          <w:color w:val="2A2A2A"/>
          <w:sz w:val="24"/>
          <w:szCs w:val="24"/>
          <w:bdr w:val="none" w:sz="0" w:space="0" w:color="auto" w:frame="1"/>
          <w:shd w:val="clear" w:color="auto" w:fill="FFFFFF"/>
        </w:rPr>
        <w:t>Pseudomonas stutzeri</w:t>
      </w:r>
      <w:r w:rsidRPr="008D15C7">
        <w:rPr>
          <w:rFonts w:ascii="Times New Roman" w:eastAsia="Times New Roman" w:hAnsi="Times New Roman" w:cs="Times New Roman"/>
          <w:color w:val="2A2A2A"/>
          <w:sz w:val="24"/>
          <w:szCs w:val="24"/>
          <w:shd w:val="clear" w:color="auto" w:fill="FFFFFF"/>
        </w:rPr>
        <w:t>, </w:t>
      </w:r>
      <w:r w:rsidRPr="008D15C7">
        <w:rPr>
          <w:rFonts w:ascii="Times New Roman" w:eastAsia="Times New Roman" w:hAnsi="Times New Roman" w:cs="Times New Roman"/>
          <w:i/>
          <w:iCs/>
          <w:color w:val="2A2A2A"/>
          <w:sz w:val="24"/>
          <w:szCs w:val="24"/>
          <w:bdr w:val="none" w:sz="0" w:space="0" w:color="auto" w:frame="1"/>
          <w:shd w:val="clear" w:color="auto" w:fill="FFFFFF"/>
        </w:rPr>
        <w:t>FEMS Microbiology Letters</w:t>
      </w:r>
      <w:r w:rsidRPr="008D15C7">
        <w:rPr>
          <w:rFonts w:ascii="Times New Roman" w:eastAsia="Times New Roman" w:hAnsi="Times New Roman" w:cs="Times New Roman"/>
          <w:color w:val="2A2A2A"/>
          <w:sz w:val="24"/>
          <w:szCs w:val="24"/>
          <w:shd w:val="clear" w:color="auto" w:fill="FFFFFF"/>
        </w:rPr>
        <w:t>, Volume 232, Issue 1, 1 March 2004, Pages 7–14, </w:t>
      </w:r>
    </w:p>
    <w:p w14:paraId="6874BC42" w14:textId="67C9ACEA" w:rsidR="008B1D57" w:rsidRPr="008D15C7" w:rsidRDefault="00AD7633" w:rsidP="008D15C7">
      <w:pPr>
        <w:pStyle w:val="ListParagraph"/>
        <w:numPr>
          <w:ilvl w:val="0"/>
          <w:numId w:val="2"/>
        </w:numPr>
        <w:spacing w:after="0" w:line="240" w:lineRule="auto"/>
        <w:rPr>
          <w:rFonts w:ascii="Times New Roman" w:eastAsia="Times New Roman" w:hAnsi="Times New Roman" w:cs="Times New Roman"/>
          <w:sz w:val="24"/>
          <w:szCs w:val="24"/>
        </w:rPr>
      </w:pPr>
      <w:r w:rsidRPr="008D15C7">
        <w:rPr>
          <w:rFonts w:ascii="Times New Roman" w:eastAsia="Times New Roman" w:hAnsi="Times New Roman" w:cs="Times New Roman"/>
          <w:color w:val="303030"/>
          <w:sz w:val="24"/>
          <w:szCs w:val="24"/>
          <w:shd w:val="clear" w:color="auto" w:fill="FFFFFF"/>
        </w:rPr>
        <w:t>Tian, Zhe-Xian et al. “CpxR Activates MexAB-OprM Efflux Pump Expression and Enhances Antibiotic Resistance in Both Laboratory and Clinical nalB-Type Isolates of Pseudomonas aeruginosa” </w:t>
      </w:r>
      <w:r w:rsidRPr="008D15C7">
        <w:rPr>
          <w:rFonts w:ascii="Times New Roman" w:eastAsia="Times New Roman" w:hAnsi="Times New Roman" w:cs="Times New Roman"/>
          <w:i/>
          <w:iCs/>
          <w:color w:val="303030"/>
          <w:sz w:val="24"/>
          <w:szCs w:val="24"/>
          <w:shd w:val="clear" w:color="auto" w:fill="FFFFFF"/>
        </w:rPr>
        <w:t>PLoS pathogens</w:t>
      </w:r>
      <w:r w:rsidRPr="008D15C7">
        <w:rPr>
          <w:rFonts w:ascii="Times New Roman" w:eastAsia="Times New Roman" w:hAnsi="Times New Roman" w:cs="Times New Roman"/>
          <w:color w:val="303030"/>
          <w:sz w:val="24"/>
          <w:szCs w:val="24"/>
          <w:shd w:val="clear" w:color="auto" w:fill="FFFFFF"/>
        </w:rPr>
        <w:t> vol. 12,10 e1005932. 13 Oct. 2016, doi:10.1371/journal.ppat.1005932</w:t>
      </w:r>
    </w:p>
    <w:p w14:paraId="1F9F0AD3" w14:textId="54C27589" w:rsidR="00254743" w:rsidRPr="008D15C7" w:rsidRDefault="00254743" w:rsidP="008D15C7">
      <w:pPr>
        <w:pStyle w:val="ListParagraph"/>
        <w:numPr>
          <w:ilvl w:val="0"/>
          <w:numId w:val="2"/>
        </w:numPr>
        <w:spacing w:after="0" w:line="240" w:lineRule="auto"/>
        <w:rPr>
          <w:rFonts w:ascii="Times New Roman" w:eastAsia="Times New Roman" w:hAnsi="Times New Roman" w:cs="Times New Roman"/>
          <w:sz w:val="24"/>
          <w:szCs w:val="24"/>
        </w:rPr>
      </w:pPr>
      <w:r w:rsidRPr="008D15C7">
        <w:rPr>
          <w:rFonts w:ascii="Times New Roman" w:eastAsia="Times New Roman" w:hAnsi="Times New Roman" w:cs="Times New Roman"/>
          <w:color w:val="333333"/>
          <w:sz w:val="24"/>
          <w:szCs w:val="24"/>
          <w:shd w:val="clear" w:color="auto" w:fill="FFFFFF"/>
        </w:rPr>
        <w:t>Biolabs, New England. “Reverse Transcription (CDNA Synthesis).” </w:t>
      </w:r>
      <w:r w:rsidRPr="008D15C7">
        <w:rPr>
          <w:rFonts w:ascii="Times New Roman" w:eastAsia="Times New Roman" w:hAnsi="Times New Roman" w:cs="Times New Roman"/>
          <w:i/>
          <w:iCs/>
          <w:color w:val="333333"/>
          <w:sz w:val="24"/>
          <w:szCs w:val="24"/>
          <w:shd w:val="clear" w:color="auto" w:fill="FFFFFF"/>
        </w:rPr>
        <w:t>New England Biolabs: Reagents for the Life Sciences Industry</w:t>
      </w:r>
      <w:r w:rsidRPr="008D15C7">
        <w:rPr>
          <w:rFonts w:ascii="Times New Roman" w:eastAsia="Times New Roman" w:hAnsi="Times New Roman" w:cs="Times New Roman"/>
          <w:color w:val="333333"/>
          <w:sz w:val="24"/>
          <w:szCs w:val="24"/>
          <w:shd w:val="clear" w:color="auto" w:fill="FFFFFF"/>
        </w:rPr>
        <w:t>, www.neb.com/applications/cloning-and-synthetic-biology/dna-preparation/reverse-transcription-cdna-synthesis.</w:t>
      </w:r>
    </w:p>
    <w:p w14:paraId="25AD76F0" w14:textId="2C9BD967" w:rsidR="00941D05" w:rsidRPr="008D15C7" w:rsidRDefault="00941D05" w:rsidP="008D15C7">
      <w:pPr>
        <w:pStyle w:val="ListParagraph"/>
        <w:numPr>
          <w:ilvl w:val="0"/>
          <w:numId w:val="2"/>
        </w:numPr>
        <w:spacing w:after="0" w:line="240" w:lineRule="auto"/>
        <w:rPr>
          <w:rFonts w:ascii="Times New Roman" w:eastAsia="Times New Roman" w:hAnsi="Times New Roman" w:cs="Times New Roman"/>
          <w:sz w:val="24"/>
          <w:szCs w:val="24"/>
        </w:rPr>
      </w:pPr>
      <w:r w:rsidRPr="008D15C7">
        <w:rPr>
          <w:rFonts w:ascii="Times New Roman" w:eastAsia="Times New Roman" w:hAnsi="Times New Roman" w:cs="Times New Roman"/>
          <w:color w:val="333333"/>
          <w:sz w:val="24"/>
          <w:szCs w:val="24"/>
          <w:shd w:val="clear" w:color="auto" w:fill="FFFFFF"/>
        </w:rPr>
        <w:t>“Gibson Assembly Cloning.” </w:t>
      </w:r>
      <w:r w:rsidRPr="008D15C7">
        <w:rPr>
          <w:rFonts w:ascii="Times New Roman" w:eastAsia="Times New Roman" w:hAnsi="Times New Roman" w:cs="Times New Roman"/>
          <w:i/>
          <w:iCs/>
          <w:color w:val="333333"/>
          <w:sz w:val="24"/>
          <w:szCs w:val="24"/>
          <w:shd w:val="clear" w:color="auto" w:fill="FFFFFF"/>
        </w:rPr>
        <w:t>Addgene</w:t>
      </w:r>
      <w:r w:rsidRPr="008D15C7">
        <w:rPr>
          <w:rFonts w:ascii="Times New Roman" w:eastAsia="Times New Roman" w:hAnsi="Times New Roman" w:cs="Times New Roman"/>
          <w:color w:val="333333"/>
          <w:sz w:val="24"/>
          <w:szCs w:val="24"/>
          <w:shd w:val="clear" w:color="auto" w:fill="FFFFFF"/>
        </w:rPr>
        <w:t>, www.addgene.org/protocols/gibson-assembly/.</w:t>
      </w:r>
    </w:p>
    <w:p w14:paraId="44C6DC4D" w14:textId="689E3E3C" w:rsidR="008D15C7" w:rsidRPr="008D15C7" w:rsidRDefault="008D15C7" w:rsidP="008D15C7">
      <w:pPr>
        <w:pStyle w:val="ListParagraph"/>
        <w:numPr>
          <w:ilvl w:val="0"/>
          <w:numId w:val="2"/>
        </w:numPr>
        <w:spacing w:after="0" w:line="240" w:lineRule="auto"/>
        <w:rPr>
          <w:rFonts w:ascii="Times New Roman" w:eastAsia="Times New Roman" w:hAnsi="Times New Roman" w:cs="Times New Roman"/>
          <w:sz w:val="24"/>
          <w:szCs w:val="24"/>
        </w:rPr>
      </w:pPr>
      <w:r w:rsidRPr="008D15C7">
        <w:rPr>
          <w:rFonts w:ascii="Times New Roman" w:eastAsia="Times New Roman" w:hAnsi="Times New Roman" w:cs="Times New Roman"/>
          <w:color w:val="303030"/>
          <w:sz w:val="24"/>
          <w:szCs w:val="24"/>
          <w:shd w:val="clear" w:color="auto" w:fill="FFFFFF"/>
        </w:rPr>
        <w:t>Huang, Weiliang and Angela Wilks. “A rapid seamless method for gene knockout in Pseudomonas aeruginosa” </w:t>
      </w:r>
      <w:r w:rsidRPr="008D15C7">
        <w:rPr>
          <w:rFonts w:ascii="Times New Roman" w:eastAsia="Times New Roman" w:hAnsi="Times New Roman" w:cs="Times New Roman"/>
          <w:i/>
          <w:iCs/>
          <w:color w:val="303030"/>
          <w:sz w:val="24"/>
          <w:szCs w:val="24"/>
          <w:shd w:val="clear" w:color="auto" w:fill="FFFFFF"/>
        </w:rPr>
        <w:t>BMC microbiology</w:t>
      </w:r>
      <w:r w:rsidRPr="008D15C7">
        <w:rPr>
          <w:rFonts w:ascii="Times New Roman" w:eastAsia="Times New Roman" w:hAnsi="Times New Roman" w:cs="Times New Roman"/>
          <w:color w:val="303030"/>
          <w:sz w:val="24"/>
          <w:szCs w:val="24"/>
          <w:shd w:val="clear" w:color="auto" w:fill="FFFFFF"/>
        </w:rPr>
        <w:t> vol. 17,1 199. 19 Sep. 2017, doi:10.1186/s12866-017-1112-5</w:t>
      </w:r>
    </w:p>
    <w:p w14:paraId="3D5ED2D1"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65B041E9"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0ABD8F08"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108F2378"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4D1815D5"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19FA8447"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3FCC5A4A"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1B51310A"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7E367E26"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0E93E526"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27A988B4"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239A63B1"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1845E76C"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44E6EB07"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66EBEB5C" w14:textId="1580C165"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0787EAEE" w14:textId="77777777" w:rsidR="008D0A18" w:rsidRDefault="008D0A18"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3D735F2E"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2A0474E2"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3BCD115D"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759E714B"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2F0FE10A"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6F35C92E" w14:textId="5A6D52D7" w:rsidR="009B24CA" w:rsidRPr="008D15C7" w:rsidRDefault="009B24CA"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r w:rsidRPr="008D15C7">
        <w:rPr>
          <w:rFonts w:ascii="Times New Roman" w:eastAsia="Times New Roman" w:hAnsi="Times New Roman" w:cs="Times New Roman"/>
          <w:b/>
          <w:color w:val="434343"/>
          <w:sz w:val="24"/>
          <w:szCs w:val="24"/>
          <w:u w:val="single"/>
        </w:rPr>
        <w:lastRenderedPageBreak/>
        <w:t xml:space="preserve">Appendix 2: </w:t>
      </w:r>
      <w:r w:rsidR="00644AA7" w:rsidRPr="008D15C7">
        <w:rPr>
          <w:rFonts w:ascii="Times New Roman" w:eastAsia="Times New Roman" w:hAnsi="Times New Roman" w:cs="Times New Roman"/>
          <w:b/>
          <w:i/>
          <w:color w:val="434343"/>
          <w:sz w:val="24"/>
          <w:szCs w:val="24"/>
          <w:u w:val="single"/>
        </w:rPr>
        <w:t xml:space="preserve">sacB </w:t>
      </w:r>
      <w:r w:rsidR="00644AA7" w:rsidRPr="008D15C7">
        <w:rPr>
          <w:rFonts w:ascii="Times New Roman" w:eastAsia="Times New Roman" w:hAnsi="Times New Roman" w:cs="Times New Roman"/>
          <w:b/>
          <w:color w:val="434343"/>
          <w:sz w:val="24"/>
          <w:szCs w:val="24"/>
          <w:u w:val="single"/>
        </w:rPr>
        <w:t xml:space="preserve">mediated </w:t>
      </w:r>
      <w:r w:rsidR="00A72250" w:rsidRPr="008D15C7">
        <w:rPr>
          <w:rFonts w:ascii="Times New Roman" w:eastAsia="Times New Roman" w:hAnsi="Times New Roman" w:cs="Times New Roman"/>
          <w:b/>
          <w:color w:val="434343"/>
          <w:sz w:val="24"/>
          <w:szCs w:val="24"/>
          <w:u w:val="single"/>
        </w:rPr>
        <w:t>sucrose counter selection</w:t>
      </w:r>
      <w:r w:rsidR="008D15C7">
        <w:rPr>
          <w:rFonts w:ascii="Times New Roman" w:eastAsia="Times New Roman" w:hAnsi="Times New Roman" w:cs="Times New Roman"/>
          <w:b/>
          <w:color w:val="434343"/>
          <w:sz w:val="24"/>
          <w:szCs w:val="24"/>
          <w:u w:val="single"/>
        </w:rPr>
        <w:t>:</w:t>
      </w:r>
    </w:p>
    <w:p w14:paraId="72F607EB" w14:textId="3EFB6BA5" w:rsidR="009D19E1" w:rsidRPr="008D15C7" w:rsidRDefault="00EF532C" w:rsidP="008D15C7">
      <w:pPr>
        <w:snapToGrid w:val="0"/>
        <w:spacing w:line="240" w:lineRule="auto"/>
        <w:contextualSpacing/>
        <w:rPr>
          <w:rFonts w:ascii="Times New Roman" w:hAnsi="Times New Roman" w:cs="Times New Roman"/>
          <w:sz w:val="24"/>
          <w:szCs w:val="24"/>
        </w:rPr>
      </w:pPr>
      <w:r w:rsidRPr="008D15C7">
        <w:rPr>
          <w:rFonts w:ascii="Times New Roman" w:hAnsi="Times New Roman" w:cs="Times New Roman"/>
          <w:noProof/>
          <w:sz w:val="24"/>
          <w:szCs w:val="24"/>
        </w:rPr>
        <w:drawing>
          <wp:anchor distT="0" distB="0" distL="114300" distR="114300" simplePos="0" relativeHeight="251658240" behindDoc="0" locked="0" layoutInCell="1" allowOverlap="1" wp14:anchorId="6E094B4D" wp14:editId="4B2DFA35">
            <wp:simplePos x="0" y="0"/>
            <wp:positionH relativeFrom="margin">
              <wp:align>left</wp:align>
            </wp:positionH>
            <wp:positionV relativeFrom="paragraph">
              <wp:posOffset>263525</wp:posOffset>
            </wp:positionV>
            <wp:extent cx="6146800" cy="5676900"/>
            <wp:effectExtent l="0" t="0" r="6350" b="0"/>
            <wp:wrapSquare wrapText="bothSides"/>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1 at 8.22.0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6800" cy="5676900"/>
                    </a:xfrm>
                    <a:prstGeom prst="rect">
                      <a:avLst/>
                    </a:prstGeom>
                  </pic:spPr>
                </pic:pic>
              </a:graphicData>
            </a:graphic>
            <wp14:sizeRelH relativeFrom="page">
              <wp14:pctWidth>0</wp14:pctWidth>
            </wp14:sizeRelH>
            <wp14:sizeRelV relativeFrom="page">
              <wp14:pctHeight>0</wp14:pctHeight>
            </wp14:sizeRelV>
          </wp:anchor>
        </w:drawing>
      </w:r>
    </w:p>
    <w:sectPr w:rsidR="009D19E1" w:rsidRPr="008D15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7CB8E" w14:textId="77777777" w:rsidR="009F7829" w:rsidRDefault="009F7829" w:rsidP="00F1537F">
      <w:pPr>
        <w:spacing w:after="0" w:line="240" w:lineRule="auto"/>
      </w:pPr>
      <w:r>
        <w:separator/>
      </w:r>
    </w:p>
  </w:endnote>
  <w:endnote w:type="continuationSeparator" w:id="0">
    <w:p w14:paraId="71974B36" w14:textId="77777777" w:rsidR="009F7829" w:rsidRDefault="009F7829" w:rsidP="00F1537F">
      <w:pPr>
        <w:spacing w:after="0" w:line="240" w:lineRule="auto"/>
      </w:pPr>
      <w:r>
        <w:continuationSeparator/>
      </w:r>
    </w:p>
  </w:endnote>
  <w:endnote w:type="continuationNotice" w:id="1">
    <w:p w14:paraId="05B79EDA" w14:textId="77777777" w:rsidR="00CD755E" w:rsidRDefault="00CD75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5EE7A" w14:textId="77777777" w:rsidR="009F7829" w:rsidRDefault="009F7829" w:rsidP="00F1537F">
      <w:pPr>
        <w:spacing w:after="0" w:line="240" w:lineRule="auto"/>
      </w:pPr>
      <w:r>
        <w:separator/>
      </w:r>
    </w:p>
  </w:footnote>
  <w:footnote w:type="continuationSeparator" w:id="0">
    <w:p w14:paraId="7E9A4D9A" w14:textId="77777777" w:rsidR="009F7829" w:rsidRDefault="009F7829" w:rsidP="00F1537F">
      <w:pPr>
        <w:spacing w:after="0" w:line="240" w:lineRule="auto"/>
      </w:pPr>
      <w:r>
        <w:continuationSeparator/>
      </w:r>
    </w:p>
  </w:footnote>
  <w:footnote w:type="continuationNotice" w:id="1">
    <w:p w14:paraId="0213433D" w14:textId="77777777" w:rsidR="00CD755E" w:rsidRDefault="00CD75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D7621"/>
    <w:multiLevelType w:val="hybridMultilevel"/>
    <w:tmpl w:val="68389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A3A2DE1"/>
    <w:multiLevelType w:val="multilevel"/>
    <w:tmpl w:val="B82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7F"/>
    <w:rsid w:val="00003B65"/>
    <w:rsid w:val="00004DF1"/>
    <w:rsid w:val="0001234C"/>
    <w:rsid w:val="00024313"/>
    <w:rsid w:val="00067608"/>
    <w:rsid w:val="0009132A"/>
    <w:rsid w:val="00094AD7"/>
    <w:rsid w:val="000A2883"/>
    <w:rsid w:val="000A5741"/>
    <w:rsid w:val="000A74D9"/>
    <w:rsid w:val="000C417E"/>
    <w:rsid w:val="000D5D89"/>
    <w:rsid w:val="001203DC"/>
    <w:rsid w:val="00130806"/>
    <w:rsid w:val="00131ACA"/>
    <w:rsid w:val="001324EF"/>
    <w:rsid w:val="00142EEC"/>
    <w:rsid w:val="00172C56"/>
    <w:rsid w:val="00177B23"/>
    <w:rsid w:val="0019007A"/>
    <w:rsid w:val="00196821"/>
    <w:rsid w:val="001A2C12"/>
    <w:rsid w:val="001A70A5"/>
    <w:rsid w:val="001C6850"/>
    <w:rsid w:val="001D3DF7"/>
    <w:rsid w:val="0020756F"/>
    <w:rsid w:val="00215A80"/>
    <w:rsid w:val="002202CF"/>
    <w:rsid w:val="00222296"/>
    <w:rsid w:val="002302BA"/>
    <w:rsid w:val="002337F7"/>
    <w:rsid w:val="00244AAE"/>
    <w:rsid w:val="00254743"/>
    <w:rsid w:val="00254CF7"/>
    <w:rsid w:val="002839BB"/>
    <w:rsid w:val="002A475F"/>
    <w:rsid w:val="002B1AE3"/>
    <w:rsid w:val="002D1D69"/>
    <w:rsid w:val="002E5A19"/>
    <w:rsid w:val="00301B52"/>
    <w:rsid w:val="00307E5F"/>
    <w:rsid w:val="003207AA"/>
    <w:rsid w:val="00331F20"/>
    <w:rsid w:val="003412FB"/>
    <w:rsid w:val="003519D3"/>
    <w:rsid w:val="00381B1E"/>
    <w:rsid w:val="00387980"/>
    <w:rsid w:val="00390BD4"/>
    <w:rsid w:val="0039295A"/>
    <w:rsid w:val="003A2B82"/>
    <w:rsid w:val="003B1F2F"/>
    <w:rsid w:val="003B4053"/>
    <w:rsid w:val="003B435B"/>
    <w:rsid w:val="003B678D"/>
    <w:rsid w:val="003C4FA2"/>
    <w:rsid w:val="003E5172"/>
    <w:rsid w:val="003F257A"/>
    <w:rsid w:val="0041032E"/>
    <w:rsid w:val="004119C2"/>
    <w:rsid w:val="00416049"/>
    <w:rsid w:val="00443EA0"/>
    <w:rsid w:val="00453602"/>
    <w:rsid w:val="00462F51"/>
    <w:rsid w:val="004746EA"/>
    <w:rsid w:val="004908FE"/>
    <w:rsid w:val="00492FDC"/>
    <w:rsid w:val="004B49D4"/>
    <w:rsid w:val="004C1C0F"/>
    <w:rsid w:val="005004B9"/>
    <w:rsid w:val="00501F85"/>
    <w:rsid w:val="005048B4"/>
    <w:rsid w:val="00531ECC"/>
    <w:rsid w:val="00542497"/>
    <w:rsid w:val="005508D7"/>
    <w:rsid w:val="00550902"/>
    <w:rsid w:val="00561652"/>
    <w:rsid w:val="00563CD0"/>
    <w:rsid w:val="00567AB0"/>
    <w:rsid w:val="005918BD"/>
    <w:rsid w:val="005A0C2A"/>
    <w:rsid w:val="005B7B06"/>
    <w:rsid w:val="005C2B82"/>
    <w:rsid w:val="005C72C4"/>
    <w:rsid w:val="005F30A9"/>
    <w:rsid w:val="0060233E"/>
    <w:rsid w:val="00631FF2"/>
    <w:rsid w:val="00632E70"/>
    <w:rsid w:val="00644AA7"/>
    <w:rsid w:val="0064597A"/>
    <w:rsid w:val="00653224"/>
    <w:rsid w:val="00656E89"/>
    <w:rsid w:val="006829D3"/>
    <w:rsid w:val="00684363"/>
    <w:rsid w:val="00692127"/>
    <w:rsid w:val="006A31F5"/>
    <w:rsid w:val="006A5608"/>
    <w:rsid w:val="006B12BB"/>
    <w:rsid w:val="006C154E"/>
    <w:rsid w:val="006C35FB"/>
    <w:rsid w:val="006D6E38"/>
    <w:rsid w:val="006F0B9E"/>
    <w:rsid w:val="006F2441"/>
    <w:rsid w:val="006F5CF2"/>
    <w:rsid w:val="006F6373"/>
    <w:rsid w:val="006F7E14"/>
    <w:rsid w:val="00726D6E"/>
    <w:rsid w:val="007328F2"/>
    <w:rsid w:val="007443BA"/>
    <w:rsid w:val="00750D66"/>
    <w:rsid w:val="007524C2"/>
    <w:rsid w:val="007640B9"/>
    <w:rsid w:val="007707B6"/>
    <w:rsid w:val="00785FA7"/>
    <w:rsid w:val="00795044"/>
    <w:rsid w:val="00797EED"/>
    <w:rsid w:val="007A1FDA"/>
    <w:rsid w:val="007D0F3F"/>
    <w:rsid w:val="007D6B15"/>
    <w:rsid w:val="007E01CC"/>
    <w:rsid w:val="007E184F"/>
    <w:rsid w:val="007E1DA2"/>
    <w:rsid w:val="007E5D1C"/>
    <w:rsid w:val="00805550"/>
    <w:rsid w:val="008136D3"/>
    <w:rsid w:val="00822B24"/>
    <w:rsid w:val="00827A6F"/>
    <w:rsid w:val="00842B11"/>
    <w:rsid w:val="00844F78"/>
    <w:rsid w:val="008539F1"/>
    <w:rsid w:val="00860188"/>
    <w:rsid w:val="00886AB1"/>
    <w:rsid w:val="008A05D8"/>
    <w:rsid w:val="008A611E"/>
    <w:rsid w:val="008B1D57"/>
    <w:rsid w:val="008B2437"/>
    <w:rsid w:val="008C6B27"/>
    <w:rsid w:val="008D0A18"/>
    <w:rsid w:val="008D15C7"/>
    <w:rsid w:val="008D232E"/>
    <w:rsid w:val="008D6279"/>
    <w:rsid w:val="008E240C"/>
    <w:rsid w:val="00905213"/>
    <w:rsid w:val="0090742F"/>
    <w:rsid w:val="00921A0B"/>
    <w:rsid w:val="009312E2"/>
    <w:rsid w:val="00941CA1"/>
    <w:rsid w:val="00941D05"/>
    <w:rsid w:val="009567F2"/>
    <w:rsid w:val="009651CB"/>
    <w:rsid w:val="009763C2"/>
    <w:rsid w:val="009833C2"/>
    <w:rsid w:val="009B24CA"/>
    <w:rsid w:val="009C26D8"/>
    <w:rsid w:val="009C41FA"/>
    <w:rsid w:val="009D19E1"/>
    <w:rsid w:val="009D4D69"/>
    <w:rsid w:val="009F7829"/>
    <w:rsid w:val="00A01B80"/>
    <w:rsid w:val="00A063C2"/>
    <w:rsid w:val="00A24F4D"/>
    <w:rsid w:val="00A32A5F"/>
    <w:rsid w:val="00A34DE5"/>
    <w:rsid w:val="00A45CFE"/>
    <w:rsid w:val="00A542E8"/>
    <w:rsid w:val="00A56613"/>
    <w:rsid w:val="00A72250"/>
    <w:rsid w:val="00A86A72"/>
    <w:rsid w:val="00A93B57"/>
    <w:rsid w:val="00AB2523"/>
    <w:rsid w:val="00AB34C4"/>
    <w:rsid w:val="00AC2120"/>
    <w:rsid w:val="00AD0758"/>
    <w:rsid w:val="00AD7633"/>
    <w:rsid w:val="00AE06BB"/>
    <w:rsid w:val="00AE4F90"/>
    <w:rsid w:val="00AF6C4E"/>
    <w:rsid w:val="00B03123"/>
    <w:rsid w:val="00B04AEB"/>
    <w:rsid w:val="00B26EEE"/>
    <w:rsid w:val="00B30AEE"/>
    <w:rsid w:val="00B513C7"/>
    <w:rsid w:val="00B56AFD"/>
    <w:rsid w:val="00B70AD6"/>
    <w:rsid w:val="00BC5D29"/>
    <w:rsid w:val="00BE0882"/>
    <w:rsid w:val="00BE6316"/>
    <w:rsid w:val="00BF1A14"/>
    <w:rsid w:val="00BF56C2"/>
    <w:rsid w:val="00BF7197"/>
    <w:rsid w:val="00C05045"/>
    <w:rsid w:val="00C77DE5"/>
    <w:rsid w:val="00C90B6D"/>
    <w:rsid w:val="00CA421B"/>
    <w:rsid w:val="00CA6CB5"/>
    <w:rsid w:val="00CA732E"/>
    <w:rsid w:val="00CC7AC1"/>
    <w:rsid w:val="00CD755E"/>
    <w:rsid w:val="00CD7E69"/>
    <w:rsid w:val="00CE4685"/>
    <w:rsid w:val="00D031D6"/>
    <w:rsid w:val="00D15CEE"/>
    <w:rsid w:val="00D652B6"/>
    <w:rsid w:val="00D76204"/>
    <w:rsid w:val="00DB4016"/>
    <w:rsid w:val="00DC6885"/>
    <w:rsid w:val="00E07947"/>
    <w:rsid w:val="00E41677"/>
    <w:rsid w:val="00E476C0"/>
    <w:rsid w:val="00E571D2"/>
    <w:rsid w:val="00E67A16"/>
    <w:rsid w:val="00E876FD"/>
    <w:rsid w:val="00ED60C8"/>
    <w:rsid w:val="00EE5574"/>
    <w:rsid w:val="00EF532C"/>
    <w:rsid w:val="00EF5F52"/>
    <w:rsid w:val="00F13CB1"/>
    <w:rsid w:val="00F1537F"/>
    <w:rsid w:val="00F157D3"/>
    <w:rsid w:val="00F213C4"/>
    <w:rsid w:val="00F30A18"/>
    <w:rsid w:val="00F4004B"/>
    <w:rsid w:val="00F4214D"/>
    <w:rsid w:val="00F658BB"/>
    <w:rsid w:val="00F65D8F"/>
    <w:rsid w:val="00F82A3C"/>
    <w:rsid w:val="00F87298"/>
    <w:rsid w:val="00F97F79"/>
    <w:rsid w:val="00FA6040"/>
    <w:rsid w:val="00FB1130"/>
    <w:rsid w:val="00FB37CF"/>
    <w:rsid w:val="00FC7F0F"/>
    <w:rsid w:val="00FD6AB5"/>
    <w:rsid w:val="00FE327D"/>
    <w:rsid w:val="00FE6145"/>
    <w:rsid w:val="00FF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052C"/>
  <w15:chartTrackingRefBased/>
  <w15:docId w15:val="{577B5474-7B04-4830-A838-A389822F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0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37F"/>
  </w:style>
  <w:style w:type="paragraph" w:styleId="Footer">
    <w:name w:val="footer"/>
    <w:basedOn w:val="Normal"/>
    <w:link w:val="FooterChar"/>
    <w:uiPriority w:val="99"/>
    <w:unhideWhenUsed/>
    <w:rsid w:val="00F15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37F"/>
  </w:style>
  <w:style w:type="paragraph" w:styleId="ListParagraph">
    <w:name w:val="List Paragraph"/>
    <w:basedOn w:val="Normal"/>
    <w:uiPriority w:val="34"/>
    <w:qFormat/>
    <w:rsid w:val="00FB1130"/>
    <w:pPr>
      <w:ind w:left="720"/>
      <w:contextualSpacing/>
    </w:pPr>
  </w:style>
  <w:style w:type="character" w:styleId="Hyperlink">
    <w:name w:val="Hyperlink"/>
    <w:basedOn w:val="DefaultParagraphFont"/>
    <w:uiPriority w:val="99"/>
    <w:unhideWhenUsed/>
    <w:rsid w:val="00FB1130"/>
    <w:rPr>
      <w:color w:val="0563C1" w:themeColor="hyperlink"/>
      <w:u w:val="single"/>
    </w:rPr>
  </w:style>
  <w:style w:type="character" w:styleId="UnresolvedMention">
    <w:name w:val="Unresolved Mention"/>
    <w:basedOn w:val="DefaultParagraphFont"/>
    <w:uiPriority w:val="99"/>
    <w:semiHidden/>
    <w:unhideWhenUsed/>
    <w:rsid w:val="00FB1130"/>
    <w:rPr>
      <w:color w:val="605E5C"/>
      <w:shd w:val="clear" w:color="auto" w:fill="E1DFDD"/>
    </w:rPr>
  </w:style>
  <w:style w:type="paragraph" w:styleId="BalloonText">
    <w:name w:val="Balloon Text"/>
    <w:basedOn w:val="Normal"/>
    <w:link w:val="BalloonTextChar"/>
    <w:uiPriority w:val="99"/>
    <w:semiHidden/>
    <w:unhideWhenUsed/>
    <w:rsid w:val="00DC688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688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24F4D"/>
    <w:rPr>
      <w:sz w:val="16"/>
      <w:szCs w:val="16"/>
    </w:rPr>
  </w:style>
  <w:style w:type="paragraph" w:styleId="CommentText">
    <w:name w:val="annotation text"/>
    <w:basedOn w:val="Normal"/>
    <w:link w:val="CommentTextChar"/>
    <w:uiPriority w:val="99"/>
    <w:semiHidden/>
    <w:unhideWhenUsed/>
    <w:rsid w:val="00A24F4D"/>
    <w:pPr>
      <w:spacing w:line="240" w:lineRule="auto"/>
    </w:pPr>
    <w:rPr>
      <w:sz w:val="20"/>
      <w:szCs w:val="20"/>
    </w:rPr>
  </w:style>
  <w:style w:type="character" w:customStyle="1" w:styleId="CommentTextChar">
    <w:name w:val="Comment Text Char"/>
    <w:basedOn w:val="DefaultParagraphFont"/>
    <w:link w:val="CommentText"/>
    <w:uiPriority w:val="99"/>
    <w:semiHidden/>
    <w:rsid w:val="00A24F4D"/>
    <w:rPr>
      <w:sz w:val="20"/>
      <w:szCs w:val="20"/>
    </w:rPr>
  </w:style>
  <w:style w:type="paragraph" w:styleId="CommentSubject">
    <w:name w:val="annotation subject"/>
    <w:basedOn w:val="CommentText"/>
    <w:next w:val="CommentText"/>
    <w:link w:val="CommentSubjectChar"/>
    <w:uiPriority w:val="99"/>
    <w:semiHidden/>
    <w:unhideWhenUsed/>
    <w:rsid w:val="00A24F4D"/>
    <w:rPr>
      <w:b/>
      <w:bCs/>
    </w:rPr>
  </w:style>
  <w:style w:type="character" w:customStyle="1" w:styleId="CommentSubjectChar">
    <w:name w:val="Comment Subject Char"/>
    <w:basedOn w:val="CommentTextChar"/>
    <w:link w:val="CommentSubject"/>
    <w:uiPriority w:val="99"/>
    <w:semiHidden/>
    <w:rsid w:val="00A24F4D"/>
    <w:rPr>
      <w:b/>
      <w:bCs/>
      <w:sz w:val="20"/>
      <w:szCs w:val="20"/>
    </w:rPr>
  </w:style>
  <w:style w:type="character" w:customStyle="1" w:styleId="Heading1Char">
    <w:name w:val="Heading 1 Char"/>
    <w:basedOn w:val="DefaultParagraphFont"/>
    <w:link w:val="Heading1"/>
    <w:uiPriority w:val="9"/>
    <w:rsid w:val="00ED60C8"/>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6F7E14"/>
    <w:pPr>
      <w:spacing w:after="0" w:line="240" w:lineRule="auto"/>
    </w:pPr>
  </w:style>
  <w:style w:type="character" w:styleId="FollowedHyperlink">
    <w:name w:val="FollowedHyperlink"/>
    <w:basedOn w:val="DefaultParagraphFont"/>
    <w:uiPriority w:val="99"/>
    <w:semiHidden/>
    <w:unhideWhenUsed/>
    <w:rsid w:val="00A72250"/>
    <w:rPr>
      <w:color w:val="954F72" w:themeColor="followedHyperlink"/>
      <w:u w:val="single"/>
    </w:rPr>
  </w:style>
  <w:style w:type="paragraph" w:customStyle="1" w:styleId="sc-emmjrn">
    <w:name w:val="sc-emmjrn"/>
    <w:basedOn w:val="Normal"/>
    <w:rsid w:val="00FF7A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76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2485">
      <w:bodyDiv w:val="1"/>
      <w:marLeft w:val="0"/>
      <w:marRight w:val="0"/>
      <w:marTop w:val="0"/>
      <w:marBottom w:val="0"/>
      <w:divBdr>
        <w:top w:val="none" w:sz="0" w:space="0" w:color="auto"/>
        <w:left w:val="none" w:sz="0" w:space="0" w:color="auto"/>
        <w:bottom w:val="none" w:sz="0" w:space="0" w:color="auto"/>
        <w:right w:val="none" w:sz="0" w:space="0" w:color="auto"/>
      </w:divBdr>
    </w:div>
    <w:div w:id="266885931">
      <w:bodyDiv w:val="1"/>
      <w:marLeft w:val="0"/>
      <w:marRight w:val="0"/>
      <w:marTop w:val="0"/>
      <w:marBottom w:val="0"/>
      <w:divBdr>
        <w:top w:val="none" w:sz="0" w:space="0" w:color="auto"/>
        <w:left w:val="none" w:sz="0" w:space="0" w:color="auto"/>
        <w:bottom w:val="none" w:sz="0" w:space="0" w:color="auto"/>
        <w:right w:val="none" w:sz="0" w:space="0" w:color="auto"/>
      </w:divBdr>
    </w:div>
    <w:div w:id="477889182">
      <w:bodyDiv w:val="1"/>
      <w:marLeft w:val="0"/>
      <w:marRight w:val="0"/>
      <w:marTop w:val="0"/>
      <w:marBottom w:val="0"/>
      <w:divBdr>
        <w:top w:val="none" w:sz="0" w:space="0" w:color="auto"/>
        <w:left w:val="none" w:sz="0" w:space="0" w:color="auto"/>
        <w:bottom w:val="none" w:sz="0" w:space="0" w:color="auto"/>
        <w:right w:val="none" w:sz="0" w:space="0" w:color="auto"/>
      </w:divBdr>
    </w:div>
    <w:div w:id="494079010">
      <w:bodyDiv w:val="1"/>
      <w:marLeft w:val="0"/>
      <w:marRight w:val="0"/>
      <w:marTop w:val="0"/>
      <w:marBottom w:val="0"/>
      <w:divBdr>
        <w:top w:val="none" w:sz="0" w:space="0" w:color="auto"/>
        <w:left w:val="none" w:sz="0" w:space="0" w:color="auto"/>
        <w:bottom w:val="none" w:sz="0" w:space="0" w:color="auto"/>
        <w:right w:val="none" w:sz="0" w:space="0" w:color="auto"/>
      </w:divBdr>
    </w:div>
    <w:div w:id="495343860">
      <w:bodyDiv w:val="1"/>
      <w:marLeft w:val="0"/>
      <w:marRight w:val="0"/>
      <w:marTop w:val="0"/>
      <w:marBottom w:val="0"/>
      <w:divBdr>
        <w:top w:val="none" w:sz="0" w:space="0" w:color="auto"/>
        <w:left w:val="none" w:sz="0" w:space="0" w:color="auto"/>
        <w:bottom w:val="none" w:sz="0" w:space="0" w:color="auto"/>
        <w:right w:val="none" w:sz="0" w:space="0" w:color="auto"/>
      </w:divBdr>
    </w:div>
    <w:div w:id="563613260">
      <w:bodyDiv w:val="1"/>
      <w:marLeft w:val="0"/>
      <w:marRight w:val="0"/>
      <w:marTop w:val="0"/>
      <w:marBottom w:val="0"/>
      <w:divBdr>
        <w:top w:val="none" w:sz="0" w:space="0" w:color="auto"/>
        <w:left w:val="none" w:sz="0" w:space="0" w:color="auto"/>
        <w:bottom w:val="none" w:sz="0" w:space="0" w:color="auto"/>
        <w:right w:val="none" w:sz="0" w:space="0" w:color="auto"/>
      </w:divBdr>
    </w:div>
    <w:div w:id="602953889">
      <w:bodyDiv w:val="1"/>
      <w:marLeft w:val="0"/>
      <w:marRight w:val="0"/>
      <w:marTop w:val="0"/>
      <w:marBottom w:val="0"/>
      <w:divBdr>
        <w:top w:val="none" w:sz="0" w:space="0" w:color="auto"/>
        <w:left w:val="none" w:sz="0" w:space="0" w:color="auto"/>
        <w:bottom w:val="none" w:sz="0" w:space="0" w:color="auto"/>
        <w:right w:val="none" w:sz="0" w:space="0" w:color="auto"/>
      </w:divBdr>
    </w:div>
    <w:div w:id="760027566">
      <w:bodyDiv w:val="1"/>
      <w:marLeft w:val="0"/>
      <w:marRight w:val="0"/>
      <w:marTop w:val="0"/>
      <w:marBottom w:val="0"/>
      <w:divBdr>
        <w:top w:val="none" w:sz="0" w:space="0" w:color="auto"/>
        <w:left w:val="none" w:sz="0" w:space="0" w:color="auto"/>
        <w:bottom w:val="none" w:sz="0" w:space="0" w:color="auto"/>
        <w:right w:val="none" w:sz="0" w:space="0" w:color="auto"/>
      </w:divBdr>
    </w:div>
    <w:div w:id="1454669740">
      <w:bodyDiv w:val="1"/>
      <w:marLeft w:val="0"/>
      <w:marRight w:val="0"/>
      <w:marTop w:val="0"/>
      <w:marBottom w:val="0"/>
      <w:divBdr>
        <w:top w:val="none" w:sz="0" w:space="0" w:color="auto"/>
        <w:left w:val="none" w:sz="0" w:space="0" w:color="auto"/>
        <w:bottom w:val="none" w:sz="0" w:space="0" w:color="auto"/>
        <w:right w:val="none" w:sz="0" w:space="0" w:color="auto"/>
      </w:divBdr>
    </w:div>
    <w:div w:id="1762412660">
      <w:bodyDiv w:val="1"/>
      <w:marLeft w:val="0"/>
      <w:marRight w:val="0"/>
      <w:marTop w:val="0"/>
      <w:marBottom w:val="0"/>
      <w:divBdr>
        <w:top w:val="none" w:sz="0" w:space="0" w:color="auto"/>
        <w:left w:val="none" w:sz="0" w:space="0" w:color="auto"/>
        <w:bottom w:val="none" w:sz="0" w:space="0" w:color="auto"/>
        <w:right w:val="none" w:sz="0" w:space="0" w:color="auto"/>
      </w:divBdr>
    </w:div>
    <w:div w:id="1976443331">
      <w:bodyDiv w:val="1"/>
      <w:marLeft w:val="0"/>
      <w:marRight w:val="0"/>
      <w:marTop w:val="0"/>
      <w:marBottom w:val="0"/>
      <w:divBdr>
        <w:top w:val="none" w:sz="0" w:space="0" w:color="auto"/>
        <w:left w:val="none" w:sz="0" w:space="0" w:color="auto"/>
        <w:bottom w:val="none" w:sz="0" w:space="0" w:color="auto"/>
        <w:right w:val="none" w:sz="0" w:space="0" w:color="auto"/>
      </w:divBdr>
    </w:div>
    <w:div w:id="2024746546">
      <w:bodyDiv w:val="1"/>
      <w:marLeft w:val="0"/>
      <w:marRight w:val="0"/>
      <w:marTop w:val="0"/>
      <w:marBottom w:val="0"/>
      <w:divBdr>
        <w:top w:val="none" w:sz="0" w:space="0" w:color="auto"/>
        <w:left w:val="none" w:sz="0" w:space="0" w:color="auto"/>
        <w:bottom w:val="none" w:sz="0" w:space="0" w:color="auto"/>
        <w:right w:val="none" w:sz="0" w:space="0" w:color="auto"/>
      </w:divBdr>
      <w:divsChild>
        <w:div w:id="212498183">
          <w:marLeft w:val="0"/>
          <w:marRight w:val="0"/>
          <w:marTop w:val="360"/>
          <w:marBottom w:val="240"/>
          <w:divBdr>
            <w:top w:val="none" w:sz="0" w:space="0" w:color="auto"/>
            <w:left w:val="none" w:sz="0" w:space="0" w:color="auto"/>
            <w:bottom w:val="none" w:sz="0" w:space="0" w:color="auto"/>
            <w:right w:val="none" w:sz="0" w:space="0" w:color="auto"/>
          </w:divBdr>
        </w:div>
      </w:divsChild>
    </w:div>
    <w:div w:id="21278888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Ann Littman</dc:creator>
  <cp:keywords/>
  <dc:description/>
  <cp:lastModifiedBy>Erica Ann Littman</cp:lastModifiedBy>
  <cp:revision>2</cp:revision>
  <dcterms:created xsi:type="dcterms:W3CDTF">2019-10-13T19:25:00Z</dcterms:created>
  <dcterms:modified xsi:type="dcterms:W3CDTF">2019-10-13T19:25:00Z</dcterms:modified>
</cp:coreProperties>
</file>