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OpacityID</w:t>
      </w:r>
      <w:proofErr w:type="spellEnd"/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0E3137FF" w14:textId="0383F03D" w:rsidR="009B53AF" w:rsidRDefault="009B53AF" w:rsidP="009B53AF">
      <w:pPr>
        <w:pStyle w:val="ListParagraph"/>
        <w:numPr>
          <w:ilvl w:val="2"/>
          <w:numId w:val="2"/>
        </w:numPr>
      </w:pPr>
      <w:proofErr w:type="spellStart"/>
      <w:r>
        <w:t>IsThermal</w:t>
      </w:r>
      <w:proofErr w:type="spellEnd"/>
    </w:p>
    <w:p w14:paraId="6AA06B91" w14:textId="0E11E454" w:rsidR="009B53AF" w:rsidRDefault="009B53AF" w:rsidP="009B53AF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has thermal properties.</w:t>
      </w:r>
    </w:p>
    <w:p w14:paraId="13AF12E5" w14:textId="4849E790" w:rsidR="009B53AF" w:rsidRDefault="009B53AF" w:rsidP="009B53AF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overall warmth of the nail polish.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name for the 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3748C">
        <w:rPr>
          <w:b/>
          <w:bCs/>
        </w:rPr>
        <w:t>OpacityID</w:t>
      </w:r>
      <w:proofErr w:type="spellEnd"/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OpacityName</w:t>
      </w:r>
      <w:proofErr w:type="spellEnd"/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OpacityDescription</w:t>
      </w:r>
      <w:proofErr w:type="spellEnd"/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lastRenderedPageBreak/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BrandCategoryID</w:t>
      </w:r>
      <w:proofErr w:type="spellEnd"/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</w:t>
      </w:r>
      <w:proofErr w:type="spellStart"/>
      <w:r>
        <w:t>BrandCategory</w:t>
      </w:r>
      <w:proofErr w:type="spellEnd"/>
      <w:r>
        <w:t xml:space="preserve">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WebsiteURL</w:t>
      </w:r>
      <w:proofErr w:type="spellEnd"/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7621E1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BrandCategory</w:t>
      </w:r>
      <w:proofErr w:type="spellEnd"/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621E1">
        <w:rPr>
          <w:b/>
          <w:bCs/>
        </w:rPr>
        <w:t>BrandCategoryID</w:t>
      </w:r>
      <w:proofErr w:type="spellEnd"/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 w:rsidRPr="007621E1">
        <w:t>BrandCategoryName</w:t>
      </w:r>
      <w:proofErr w:type="spellEnd"/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</w:t>
      </w:r>
      <w:proofErr w:type="gramStart"/>
      <w:r>
        <w:t>to:</w:t>
      </w:r>
      <w:proofErr w:type="gramEnd"/>
      <w:r>
        <w:t xml:space="preserve">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>
        <w:t>BrandCategoryDescription</w:t>
      </w:r>
      <w:proofErr w:type="spellEnd"/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lastRenderedPageBreak/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>The name of theme of an event or collection. Not all events or collections  may be themed (although this is rare).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3C807C72" w:rsidR="00446B66" w:rsidRDefault="00EA120D" w:rsidP="00446B66">
      <w:pPr>
        <w:pStyle w:val="ListParagraph"/>
        <w:numPr>
          <w:ilvl w:val="0"/>
          <w:numId w:val="3"/>
        </w:numPr>
      </w:pPr>
      <w:r>
        <w:t>Image</w:t>
      </w:r>
    </w:p>
    <w:p w14:paraId="4698C164" w14:textId="29FD2C29" w:rsid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EA120D">
        <w:rPr>
          <w:b/>
          <w:bCs/>
        </w:rPr>
        <w:t>ImageID</w:t>
      </w:r>
      <w:proofErr w:type="spellEnd"/>
    </w:p>
    <w:p w14:paraId="7543AFC8" w14:textId="4F76D30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A unique identifier that identifies an image that goes with a nail polish.</w:t>
      </w:r>
    </w:p>
    <w:p w14:paraId="71A7F6EB" w14:textId="3CB87E8C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5EBC62DB" w14:textId="356F1164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PolishID</w:t>
      </w:r>
      <w:proofErr w:type="spellEnd"/>
    </w:p>
    <w:p w14:paraId="3722EC66" w14:textId="2741289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7A50F7F6" w14:textId="05F9E9C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ID of the polish that an uploaded image corresponds to.</w:t>
      </w:r>
    </w:p>
    <w:p w14:paraId="0756C4B2" w14:textId="12B4E43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AAF4E7E" w14:textId="0063F4DD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FIlePath</w:t>
      </w:r>
      <w:proofErr w:type="spellEnd"/>
    </w:p>
    <w:p w14:paraId="6FC0D100" w14:textId="0D63F86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Contains the absolute path to the appropriate image for the nail polish. </w:t>
      </w:r>
    </w:p>
    <w:p w14:paraId="79D2C2D4" w14:textId="4DB5A92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1D86FBC" w14:textId="2836BC7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UploadDate</w:t>
      </w:r>
      <w:proofErr w:type="spellEnd"/>
    </w:p>
    <w:p w14:paraId="233F206E" w14:textId="537CA85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uploaded to the database.</w:t>
      </w:r>
    </w:p>
    <w:p w14:paraId="156755F7" w14:textId="6F73803B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75A40B9A" w14:textId="51517A2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ShotDate</w:t>
      </w:r>
      <w:proofErr w:type="spellEnd"/>
    </w:p>
    <w:p w14:paraId="22E8A272" w14:textId="22E5AB0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shot using a camera, if applicable. Can be NULL (e.g. a random user takes an image and does not have shot data).</w:t>
      </w:r>
    </w:p>
    <w:p w14:paraId="319E0876" w14:textId="1BD55199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07838360" w14:textId="28568C68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325423A9" w14:textId="0A28CB0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(Eventual) Foreign key</w:t>
      </w:r>
    </w:p>
    <w:p w14:paraId="6375C777" w14:textId="24B0A07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Unique identifier for the user that uploads the image.</w:t>
      </w:r>
    </w:p>
    <w:p w14:paraId="3ED397E0" w14:textId="34539BC0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19A83746" w14:textId="4839FA49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ApprovalStatus</w:t>
      </w:r>
      <w:proofErr w:type="spellEnd"/>
    </w:p>
    <w:p w14:paraId="02B893C6" w14:textId="00CED0D6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States the approval status for an image (</w:t>
      </w:r>
      <w:proofErr w:type="gramStart"/>
      <w:r>
        <w:t>whether or not</w:t>
      </w:r>
      <w:proofErr w:type="gramEnd"/>
      <w:r>
        <w:t xml:space="preserve"> it has been successfully uploaded to the database). </w:t>
      </w:r>
    </w:p>
    <w:p w14:paraId="23D55C82" w14:textId="69068775" w:rsidR="00EA120D" w:rsidRPr="0083354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Varchar(12) </w:t>
      </w:r>
    </w:p>
    <w:p w14:paraId="340A08CF" w14:textId="66BAA82E" w:rsidR="0083354D" w:rsidRPr="0083354D" w:rsidRDefault="0083354D" w:rsidP="0083354D">
      <w:pPr>
        <w:pStyle w:val="ListParagraph"/>
        <w:numPr>
          <w:ilvl w:val="0"/>
          <w:numId w:val="3"/>
        </w:numPr>
        <w:rPr>
          <w:b/>
          <w:bCs/>
        </w:rPr>
      </w:pPr>
      <w:r>
        <w:t>User</w:t>
      </w:r>
    </w:p>
    <w:p w14:paraId="317BF9D7" w14:textId="137DF8C1" w:rsid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83354D">
        <w:rPr>
          <w:b/>
          <w:bCs/>
        </w:rPr>
        <w:t>UserID</w:t>
      </w:r>
      <w:proofErr w:type="spellEnd"/>
    </w:p>
    <w:p w14:paraId="7C073718" w14:textId="1502465D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Unique identifier for a registered user for the database. </w:t>
      </w:r>
    </w:p>
    <w:p w14:paraId="4E72C8C1" w14:textId="0A680A23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ED5A81A" w14:textId="74D59DFE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UserName</w:t>
      </w:r>
      <w:proofErr w:type="spellEnd"/>
    </w:p>
    <w:p w14:paraId="235CDE20" w14:textId="01A3B61A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The login name for a user—will currently correspond with display name as well.</w:t>
      </w:r>
    </w:p>
    <w:p w14:paraId="561FBF62" w14:textId="59722967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Varchar(60)</w:t>
      </w:r>
    </w:p>
    <w:p w14:paraId="4502BEA5" w14:textId="49D985C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UserPass</w:t>
      </w:r>
      <w:proofErr w:type="spellEnd"/>
    </w:p>
    <w:p w14:paraId="79AD8AC9" w14:textId="7D82A4A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HASHED</w:t>
      </w:r>
    </w:p>
    <w:p w14:paraId="6E73B74E" w14:textId="6ED8737E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password for a User, such that they can log in. </w:t>
      </w:r>
    </w:p>
    <w:p w14:paraId="518AE1A3" w14:textId="0AB7682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3484EF4" w14:textId="1C47FA2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UserEmail</w:t>
      </w:r>
      <w:proofErr w:type="spellEnd"/>
    </w:p>
    <w:p w14:paraId="70485D4D" w14:textId="5316EF4B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registered email for a user. </w:t>
      </w:r>
    </w:p>
    <w:p w14:paraId="058EFE8F" w14:textId="67C33199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Varchar(40)</w:t>
      </w:r>
    </w:p>
    <w:p w14:paraId="6D8151F3" w14:textId="6D8A20A8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UserRegistrationDate</w:t>
      </w:r>
      <w:proofErr w:type="spellEnd"/>
    </w:p>
    <w:p w14:paraId="7C3F995A" w14:textId="4B633B8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 datetime that logs the moment of registration for a user. </w:t>
      </w:r>
    </w:p>
    <w:p w14:paraId="506AF9EE" w14:textId="09CFA48B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Datetime</w:t>
      </w:r>
    </w:p>
    <w:sectPr w:rsidR="0083354D" w:rsidRPr="0083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3354D"/>
    <w:rsid w:val="0086347C"/>
    <w:rsid w:val="0087641E"/>
    <w:rsid w:val="00900F98"/>
    <w:rsid w:val="00902726"/>
    <w:rsid w:val="009B53AF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A120D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34</cp:revision>
  <dcterms:created xsi:type="dcterms:W3CDTF">2025-05-05T19:47:00Z</dcterms:created>
  <dcterms:modified xsi:type="dcterms:W3CDTF">2025-05-13T08:43:00Z</dcterms:modified>
</cp:coreProperties>
</file>