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Revisão do Diagrama Entidade-Relacionamento (DER)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3200"/>
        <w:gridCol w:w="5780"/>
        <w:gridCol w:w="200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7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2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Autor(es)</w:t>
            </w:r>
          </w:p>
        </w:tc>
        <w:tc>
          <w:tcPr>
            <w:tcW w:type="dxa" w:w="578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das Alterações</w:t>
            </w:r>
          </w:p>
        </w:tc>
        <w:tc>
          <w:tcPr>
            <w:tcW w:type="dxa" w:w="20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23/10/2026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Erica Cristiana Carvalho Silva</w:t>
            </w:r>
          </w:p>
        </w:tc>
        <w:tc>
          <w:tcPr>
            <w:tcW w:type="dxa" w:w="57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Criação do documento de revisão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Concluída com ressalvas</w:t>
            </w:r>
          </w:p>
        </w:tc>
      </w:tr>
    </w:tbl>
    <w:p>
      <w:pPr>
        <w:pStyle w:val="Heading1"/>
        <w:spacing w:after="120" w:before="280"/>
      </w:pPr>
      <w:r>
        <w:t xml:space="preserve">1. Objetivo da revisão</w:t>
      </w:r>
    </w:p>
    <w:p>
      <w:pPr>
        <w:spacing w:after="110"/>
      </w:pPr>
      <w:r>
        <w:rPr>
          <w:rFonts w:ascii="Arial" w:cs="Arial" w:eastAsia="Arial" w:hAnsi="Arial"/>
          <w:sz w:val="21"/>
          <w:szCs w:val="21"/>
        </w:rPr>
        <w:t xml:space="preserve">Revisar o DER final e verificar sua consistência com a modelagem de classes e com os demais documentos do projeto.</w:t>
      </w:r>
    </w:p>
    <w:p>
      <w:pPr>
        <w:pStyle w:val="Heading1"/>
        <w:spacing w:after="120" w:before="280"/>
      </w:pPr>
      <w:r>
        <w:t xml:space="preserve">2. Material revisado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DER_Fim.pdf (DER final, 28 tabelas, ids BIGINT).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Modelo de 7 pacotes (drawio e imagens) e Relacionamentos_1_0.xlsx.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Documentos da Sprint 4: topologia geral, comunicação entre as camadas e técnicas para sustentar leitura e escrita.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entidades_banco_dados_freelas.docx e DER.png (versão anterior de 9 entidades), conferidos apenas para identificar o que ficou obsoleto.</w:t>
      </w:r>
    </w:p>
    <w:p>
      <w:pPr>
        <w:pStyle w:val="Heading1"/>
        <w:spacing w:after="120" w:before="280"/>
      </w:pPr>
      <w:r>
        <w:t xml:space="preserve">3. Itens conferidos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828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828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Entidades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Conferido</w:t>
            </w:r>
          </w:p>
        </w:tc>
        <w:tc>
          <w:tcPr>
            <w:tcW w:type="dxa" w:w="8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 tabelas, uma para cada uma das 28 classes do modelo de 7 pacotes.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Atributos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 ressalvas</w:t>
            </w:r>
          </w:p>
        </w:tc>
        <w:tc>
          <w:tcPr>
            <w:tcW w:type="dxa" w:w="8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 colunas correspondem aos atributos das classes. Valem para o DER as mesmas lacunas da modelagem de classes (divergências 1, 2 e 8).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Relacionamentos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Conferido</w:t>
            </w:r>
          </w:p>
        </w:tc>
        <w:tc>
          <w:tcPr>
            <w:tcW w:type="dxa" w:w="8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 chaves estrangeiras seguem as relações do modelo e da planilha de 39 relacionamentos.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Cardinalidades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Conferido</w:t>
            </w:r>
          </w:p>
        </w:tc>
        <w:tc>
          <w:tcPr>
            <w:tcW w:type="dxa" w:w="8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Coerentes com o diagrama de classes (por exemplo, candidaturas 1 para 0..1 contratações; contratações 1 para 0..1 pagamentos).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Tipos e nomes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Conferido</w:t>
            </w:r>
          </w:p>
        </w:tc>
        <w:tc>
          <w:tcPr>
            <w:tcW w:type="dxa" w:w="8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Valores monetários em DECIMAL (nunca ponto flutuante), nomes em minúsculas com sublinhado e tabelas no plural.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Localização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Conferido</w:t>
            </w:r>
          </w:p>
        </w:tc>
        <w:tc>
          <w:tcPr>
            <w:tcW w:type="dxa" w:w="8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colunas de latitude e longitude, de acordo com a decisão de 07/10 (distância pelo Serviço de Mapas a partir do CEP, com cache). Não há divergência a registrar.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Segurança e LGPD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 ressalvas</w:t>
            </w:r>
          </w:p>
        </w:tc>
        <w:tc>
          <w:tcPr>
            <w:tcW w:type="dxa" w:w="8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de recebimento já têm colunas com sufixo _cript. CPF, e-mail e telefone aparecem sem indicação de proteção, e faltam tabelas de consentimento e verificação.</w:t>
            </w:r>
          </w:p>
        </w:tc>
      </w:tr>
    </w:tbl>
    <w:p>
      <w:pPr>
        <w:pStyle w:val="Heading1"/>
        <w:spacing w:after="120" w:before="280"/>
      </w:pPr>
      <w:r>
        <w:t xml:space="preserve">4. Divergências encontradas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4100"/>
        <w:gridCol w:w="2300"/>
        <w:gridCol w:w="1250"/>
        <w:gridCol w:w="363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9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  <w:tc>
          <w:tcPr>
            <w:tcW w:type="dxa" w:w="41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 encontrada</w:t>
            </w:r>
          </w:p>
        </w:tc>
        <w:tc>
          <w:tcPr>
            <w:tcW w:type="dxa" w:w="23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Referência</w:t>
            </w:r>
          </w:p>
        </w:tc>
        <w:tc>
          <w:tcPr>
            <w:tcW w:type="dxa" w:w="125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Gravidade</w:t>
            </w:r>
          </w:p>
        </w:tc>
        <w:tc>
          <w:tcPr>
            <w:tcW w:type="dxa" w:w="363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Sugestão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vagas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raio de atuação e sem score mínimo exigido.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RN-BUSC-05 e 07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Acrescentar raio_atuacao_km e score_minimo (ou definir outro lugar).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pagamentos / ocorrencias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estrutura para disputa (motivo, evidências, decisão) e para a justificativa de falta.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RN-CART-11; casos de uso Empresa 17 e Freelancer 21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Criar a tabela disputas e acrescentar justificativa em ocorrencias.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Novas tabelas e chaves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Faltam a fila de tarefas e os tokens de renovação, previstos na topologia. Além disso, notificacao e log_auditoria precisam de chave primária com a data (id, criada_em e id, registrado_em) para o particionamento mensal definido para elas.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Topologia geral; KAN-132; KAN-136; KAN-138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Acrescentar fila_tarefa e token_renovacao (o modelo passa a 30 tabelas) e ajustar as chaves das duas tabelas particionadas.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Várias tabelas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 restrições de unicidade não aparecem (a seção Indexes está recolhida): e-mail, CPF, CNPJ, chave de idempotência, par freelancer/vaga em candidaturas e favoritas, carteira por freelancer, avaliação por avaliador e contratação.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RN-CAD-01; RN-CADF-10; RN-BUSC; RNF16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Documentar as chaves únicas e os índices no DER ou em anexo. Os documentos de escalabilidade já definem vários índices parciais.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avaliacoes / freelancers / empresas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nota DECIMAL(3,2) e score DECIMAL(4,2) aceitam valores acima de 5.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RN-SCORE-05 e 08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Definir restrição de 0 a 5 (CHECK) para nota e score.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Colunas ENUM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valores de todos os ENUM aparecem como ENUM(...).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RN-CART-11 (estados do pagamento)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Listar os valores (por exemplo, status de pagamentos: PAGO_CUSTODIA, AGUARDANDO_CONFIRMACAO, LIBERADO, EM_DISPUTA, ESTORNADO).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freelancers / usuarios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há tabelas de aceite de termos, consentimento específico nem de documento/biometria de verificação. CPF, e-mail e telefone sem indicação de criptografia.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RN-CADF-01, 02 e 10; RNF21; LGPD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Criar tabelas de consentimento e verificação; definir quais colunas pessoais serão criptografadas.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usuarios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coluna de papel para distinguir Administrador de Empresa e Freelancer.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Diagrama de casos de uso (21.png)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Acrescentar papel (ou tabela de administradores), conforme a decisão no modelo de classes.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pagamentos / avaliacoes / candidaturas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Faltam colunas de prazo: confirmação tácita (6h), disponibilidade da avaliação (72h) e expiração da candidatura (24h).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RN-CART-12; RN-SCORE-02; RN-BUSC-09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Acrescentar as colunas correspondentes.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impulsionamentos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 freelancer_id e vaga_id sem restrição de que exatamente um seja preenchido.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RN-PREM-12 a 14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Criar CHECK de exclusividade.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freelancers / empresas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figura não deixa claro se o id é chave primária e estrangeira para usuarios.id.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Modelo de herança do pacote 1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Indicar explicitamente a chave primária/estrangeira compartilhada.</w:t>
            </w:r>
          </w:p>
        </w:tc>
      </w:tr>
    </w:tbl>
    <w:p>
      <w:pPr>
        <w:pStyle w:val="Heading1"/>
        <w:spacing w:after="120" w:before="280"/>
      </w:pPr>
      <w:r>
        <w:t xml:space="preserve">5. Conclusão</w:t>
      </w:r>
    </w:p>
    <w:p>
      <w:pPr>
        <w:spacing w:after="110"/>
      </w:pPr>
      <w:r>
        <w:rPr>
          <w:rFonts w:ascii="Arial" w:cs="Arial" w:eastAsia="Arial" w:hAnsi="Arial"/>
          <w:sz w:val="21"/>
          <w:szCs w:val="21"/>
        </w:rPr>
        <w:t xml:space="preserve">O DER final está coerente com o modelo de classes de 7 pacotes e pode ser a base da Sprint 4. A revisão o considera aprovado com ressalvas.</w:t>
      </w:r>
    </w:p>
    <w:p>
      <w:pPr>
        <w:spacing w:after="110"/>
      </w:pPr>
      <w:r>
        <w:rPr>
          <w:rFonts w:ascii="Arial" w:cs="Arial" w:eastAsia="Arial" w:hAnsi="Arial"/>
          <w:sz w:val="21"/>
          <w:szCs w:val="21"/>
        </w:rPr>
        <w:t xml:space="preserve">As divergências 1 e 2 repetem as da modelagem de classes e devem ser corrigidas nos dois documentos ao mesmo tempo. A divergência 3 resulta das decisões de arquitetura da Sprint 4 e precisa entrar no script do banco.</w:t>
      </w:r>
    </w:p>
    <w:p>
      <w:pPr>
        <w:spacing w:after="110"/>
      </w:pPr>
      <w:r>
        <w:rPr>
          <w:rFonts w:ascii="Arial" w:cs="Arial" w:eastAsia="Arial" w:hAnsi="Arial"/>
          <w:sz w:val="21"/>
          <w:szCs w:val="21"/>
        </w:rPr>
        <w:t xml:space="preserve">O DER.png e o documento entidades_banco_dados_freelas.docx descrevem o modelo anterior de 9 entidades e devem ser marcados como obsoletos.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2026-10-28T13:55:15.576Z</dcterms:created>
  <dcterms:modified xsi:type="dcterms:W3CDTF">2026-10-28T13:55:15.576Z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