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F5C" w:rsidRDefault="00A405EF">
      <w:pPr>
        <w:pStyle w:val="Ttulo1"/>
        <w:spacing w:after="200"/>
        <w:jc w:val="center"/>
        <w:rPr>
          <w:color w:val="000000"/>
          <w:sz w:val="26"/>
        </w:rPr>
      </w:pPr>
      <w:r>
        <w:rPr>
          <w:color w:val="000000"/>
          <w:sz w:val="26"/>
        </w:rPr>
        <w:t>PADRÃO DA API REST E SEGURANÇA DO FREELAS</w:t>
      </w:r>
    </w:p>
    <w:p w:rsidR="004E0E33" w:rsidRPr="004E0E33" w:rsidRDefault="004E0E33" w:rsidP="004E0E33"/>
    <w:p w:rsidR="00FF2F5C" w:rsidRDefault="00A405EF">
      <w:pPr>
        <w:pStyle w:val="SectionTitle"/>
      </w:pPr>
      <w:r>
        <w:t>1. VISÃO GERAL E PREMISSAS</w:t>
      </w:r>
    </w:p>
    <w:p w:rsidR="00FF2F5C" w:rsidRDefault="00A405EF">
      <w:pPr>
        <w:spacing w:after="60"/>
        <w:ind w:left="360" w:hanging="230"/>
      </w:pPr>
      <w:r>
        <w:t>•  O App Mobile e a Aplicação Web chamam a API; não acessam diretamente o PostgreSQL nem o Gateway de Pagamento.</w:t>
      </w:r>
    </w:p>
    <w:p w:rsidR="00FF2F5C" w:rsidRDefault="00A405EF">
      <w:pPr>
        <w:spacing w:after="60"/>
        <w:ind w:left="360" w:hanging="230"/>
      </w:pPr>
      <w:r>
        <w:t>•  A API valida a autenticação antes de encaminhar a requisição ao módul</w:t>
      </w:r>
      <w:r>
        <w:t>o de negócio correspondente.</w:t>
      </w:r>
    </w:p>
    <w:p w:rsidR="00FF2F5C" w:rsidRDefault="00A405EF">
      <w:pPr>
        <w:spacing w:after="60"/>
        <w:ind w:left="360" w:hanging="230"/>
      </w:pPr>
      <w:r>
        <w:t>•  O backend não mantém sessão em memória. Cada requisição autenticada apresenta o token; o estado do negócio e os tokens de renovação ficam no banco.</w:t>
      </w:r>
    </w:p>
    <w:p w:rsidR="00FF2F5C" w:rsidRDefault="00A405EF">
      <w:pPr>
        <w:spacing w:after="60"/>
        <w:ind w:left="360" w:hanging="230"/>
      </w:pPr>
      <w:r>
        <w:t>•  A autenticação é compartilhada pelos dois perfis. O perfil indicado no to</w:t>
      </w:r>
      <w:r>
        <w:t>ken é Empresa ou Freelancer; o perfil Administrador existe para as funções administrativas descritas no RF21.</w:t>
      </w:r>
    </w:p>
    <w:p w:rsidR="00FF2F5C" w:rsidRDefault="00A405EF">
      <w:pPr>
        <w:spacing w:after="60"/>
        <w:ind w:left="360" w:hanging="230"/>
      </w:pPr>
      <w:r>
        <w:t>•  Dados de cartão permanecem no gateway certificado. O Freelas armazena somente o token fornecido pelo gateway, conforme RNF17.</w:t>
      </w:r>
    </w:p>
    <w:p w:rsidR="00FF2F5C" w:rsidRDefault="00A405EF">
      <w:pPr>
        <w:pStyle w:val="SectionTitle"/>
      </w:pPr>
      <w:r>
        <w:t xml:space="preserve">2. PADRÃO DA API </w:t>
      </w:r>
      <w:r>
        <w:t>REST</w:t>
      </w:r>
    </w:p>
    <w:p w:rsidR="00FF2F5C" w:rsidRDefault="00A405EF">
      <w:pPr>
        <w:pStyle w:val="Subttulo1"/>
      </w:pPr>
      <w:r>
        <w:t>2.1. Comunicação e formato</w:t>
      </w:r>
    </w:p>
    <w:p w:rsidR="00FF2F5C" w:rsidRDefault="00A405EF">
      <w:pPr>
        <w:spacing w:after="60"/>
        <w:ind w:left="360" w:hanging="230"/>
      </w:pPr>
      <w:r>
        <w:t>•  Todas as chamadas externas devem usar HTTPS. O tráfego da API deve utilizar JSON em UTF-8.</w:t>
      </w:r>
    </w:p>
    <w:p w:rsidR="00FF2F5C" w:rsidRDefault="00A405EF">
      <w:pPr>
        <w:spacing w:after="60"/>
        <w:ind w:left="360" w:hanging="230"/>
      </w:pPr>
      <w:r>
        <w:t>•  As requisições de criação ou alteração devem informar Content-Type: application/json. As respostas devem ser JSON, exceto quand</w:t>
      </w:r>
      <w:r>
        <w:t>o o código HTTP for 204 (sem conteúdo).</w:t>
      </w:r>
    </w:p>
    <w:p w:rsidR="00FF2F5C" w:rsidRDefault="00A405EF">
      <w:pPr>
        <w:spacing w:after="60"/>
        <w:ind w:left="360" w:hanging="230"/>
      </w:pPr>
      <w:r>
        <w:t xml:space="preserve">•  No aplicativo mobile, o token de acesso deve ser enviado no cabeçalho Authorization: Bearer {token}. Na aplicação web, o token deve ser enviado em cookie Secure e HttpOnly, conforme a topologia definida. Nos dois </w:t>
      </w:r>
      <w:r>
        <w:t>casos, o backend valida o mesmo tipo de token; não aceitar tokens na URL ou no corpo da requisição.</w:t>
      </w:r>
    </w:p>
    <w:p w:rsidR="00FF2F5C" w:rsidRDefault="00A405EF">
      <w:pPr>
        <w:pStyle w:val="Subttulo1"/>
      </w:pPr>
      <w:r>
        <w:t>2.2. Nomenclatura dos recursos e métodos</w:t>
      </w:r>
    </w:p>
    <w:p w:rsidR="00FF2F5C" w:rsidRDefault="00A405EF">
      <w:pPr>
        <w:spacing w:after="60"/>
        <w:ind w:left="360" w:hanging="230"/>
      </w:pPr>
      <w:r>
        <w:t>•  Os recursos devem usar nomes em português, no plural, em letras minúsculas e sem acentos: /vagas, /candidaturas,</w:t>
      </w:r>
      <w:r>
        <w:t xml:space="preserve"> /contratacoes, /usuarios.</w:t>
      </w:r>
    </w:p>
    <w:p w:rsidR="00FF2F5C" w:rsidRDefault="00A405EF">
      <w:pPr>
        <w:spacing w:after="60"/>
        <w:ind w:left="360" w:hanging="230"/>
      </w:pPr>
      <w:r>
        <w:t>•  Os campos do JSON devem seguir camelCase e utilizar os nomes dos atributos definidos no modelo de classes.</w:t>
      </w:r>
    </w:p>
    <w:p w:rsidR="00FF2F5C" w:rsidRDefault="00A405EF">
      <w:pPr>
        <w:spacing w:after="60"/>
        <w:ind w:left="360" w:hanging="230"/>
      </w:pPr>
      <w:r>
        <w:t xml:space="preserve">•  Usar GET para consulta, POST para criação ou execução de uma ação, PUT para substituição completa, PATCH para </w:t>
      </w:r>
      <w:r>
        <w:t>alteração parcial e DELETE para exclusão.</w:t>
      </w:r>
    </w:p>
    <w:p w:rsidR="00FF2F5C" w:rsidRDefault="00A405EF">
      <w:pPr>
        <w:spacing w:after="60"/>
        <w:ind w:left="360" w:hanging="230"/>
      </w:pPr>
      <w:r>
        <w:t>•  Mudanças de estado devem ser representadas por POST em um sub-recurso, conforme o padrão já registrado: POST /vagas/{id}/publicacao.</w:t>
      </w:r>
    </w:p>
    <w:p w:rsidR="00FF2F5C" w:rsidRDefault="00A405EF">
      <w:pPr>
        <w:spacing w:after="60"/>
        <w:ind w:left="360" w:hanging="230"/>
      </w:pPr>
      <w:r>
        <w:t>•  A autenticação deve ficar em um único conjunto compartilhado de rotas sob /</w:t>
      </w:r>
      <w:r>
        <w:t>autenticacao, e não duplicada em rotas separadas por perfil.</w:t>
      </w:r>
    </w:p>
    <w:p w:rsidR="00FF2F5C" w:rsidRDefault="00A405EF">
      <w:pPr>
        <w:pStyle w:val="Subttulo1"/>
      </w:pPr>
      <w:r>
        <w:t>2.3. Versionamento</w:t>
      </w:r>
    </w:p>
    <w:p w:rsidR="00FF2F5C" w:rsidRDefault="00A405EF">
      <w:r>
        <w:t>Recomendação para o MVP: manter os caminhos atuais sem o prefixo provisório /api/v1. O System Design informa que os endpoints da Empresa já seguem esse padrão e que os endpoint</w:t>
      </w:r>
      <w:r>
        <w:t>s do Freelancer devem remover o prefixo provisório para ficarem alinhados. Assim, os caminhos existentes representam a versão inicial 1.0 da API, sem exigir a alteração de todos os endpoints já mapeados.</w:t>
      </w:r>
    </w:p>
    <w:p w:rsidR="00FF2F5C" w:rsidRDefault="00A405EF">
      <w:r>
        <w:lastRenderedPageBreak/>
        <w:t>Para uma futura mudança incompatível, publicar uma n</w:t>
      </w:r>
      <w:r>
        <w:t>ova família de rotas com prefixo /v2 (por exemplo, /v2/vagas), mantendo a versão anterior disponível durante o período de migração definido pela equipe. Inclusões compatíveis, como campos opcionais, não exigem nova versão. A equipe deve registrar formalmen</w:t>
      </w:r>
      <w:r>
        <w:t>te esta política antes do início da implementação.</w:t>
      </w:r>
    </w:p>
    <w:p w:rsidR="00FF2F5C" w:rsidRDefault="00A405EF">
      <w:pPr>
        <w:pStyle w:val="Subttulo1"/>
      </w:pPr>
      <w:r>
        <w:t>2.4. Paginação</w:t>
      </w:r>
    </w:p>
    <w:p w:rsidR="00FF2F5C" w:rsidRDefault="00A405EF">
      <w:pPr>
        <w:spacing w:after="60"/>
        <w:ind w:left="360" w:hanging="230"/>
      </w:pPr>
      <w:r>
        <w:t>•  Toda listagem que possa retornar muitos registros deve aceitar os parâmetros pagina e tamanho.</w:t>
      </w:r>
    </w:p>
    <w:p w:rsidR="00FF2F5C" w:rsidRDefault="00A405EF">
      <w:pPr>
        <w:spacing w:after="60"/>
        <w:ind w:left="360" w:hanging="230"/>
      </w:pPr>
      <w:r>
        <w:t>•  Valores propostos: pagina começa em 1; tamanho padrão é 20; tamanho máximo permitido é 10</w:t>
      </w:r>
      <w:r>
        <w:t>0. Valores inválidos devem retornar erro 400 ou 422 conforme a natureza da falha.</w:t>
      </w:r>
    </w:p>
    <w:p w:rsidR="00FF2F5C" w:rsidRDefault="00A405EF">
      <w:pPr>
        <w:spacing w:after="60"/>
        <w:ind w:left="360" w:hanging="230"/>
      </w:pPr>
      <w:r>
        <w:t>•  A resposta deve separar os registros dos metadados de paginação, usando os campos dados e paginacao.</w:t>
      </w:r>
    </w:p>
    <w:p w:rsidR="00FF2F5C" w:rsidRDefault="00A405EF">
      <w:pPr>
        <w:pStyle w:val="Subttulo1"/>
      </w:pPr>
      <w:r>
        <w:t>2.5. Códigos HTTP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FF2F5C">
        <w:trPr>
          <w:cantSplit/>
          <w:tblHeader/>
          <w:jc w:val="center"/>
        </w:trPr>
        <w:tc>
          <w:tcPr>
            <w:tcW w:w="1944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7992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Quando utilizar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200 OK</w:t>
            </w:r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Consulta ou alteração</w:t>
            </w:r>
            <w:r>
              <w:rPr>
                <w:color w:val="000000"/>
                <w:sz w:val="16"/>
              </w:rPr>
              <w:t xml:space="preserve"> concluída com resposta.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201 </w:t>
            </w:r>
            <w:proofErr w:type="spellStart"/>
            <w:r>
              <w:rPr>
                <w:color w:val="000000"/>
                <w:sz w:val="16"/>
              </w:rPr>
              <w:t>Created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Novo recurso criado.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204 No </w:t>
            </w:r>
            <w:proofErr w:type="spellStart"/>
            <w:r>
              <w:rPr>
                <w:color w:val="000000"/>
                <w:sz w:val="16"/>
              </w:rPr>
              <w:t>Content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Operação concluída sem corpo de resposta.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400 </w:t>
            </w:r>
            <w:proofErr w:type="spellStart"/>
            <w:r>
              <w:rPr>
                <w:color w:val="000000"/>
                <w:sz w:val="16"/>
              </w:rPr>
              <w:t>Bad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Request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JSON malformado, parâmetro ausente ou requisição estruturalmente inválida.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401 </w:t>
            </w:r>
            <w:proofErr w:type="spellStart"/>
            <w:r>
              <w:rPr>
                <w:color w:val="000000"/>
                <w:sz w:val="16"/>
              </w:rPr>
              <w:t>Unauthorized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Token ausente, inválido, </w:t>
            </w:r>
            <w:r>
              <w:rPr>
                <w:color w:val="000000"/>
                <w:sz w:val="16"/>
              </w:rPr>
              <w:t>expirado ou credenciais incorretas.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403 </w:t>
            </w:r>
            <w:proofErr w:type="spellStart"/>
            <w:r>
              <w:rPr>
                <w:color w:val="000000"/>
                <w:sz w:val="16"/>
              </w:rPr>
              <w:t>Forbidden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Usuário autenticado, mas sem permissão para o perfil ou recurso solicitado.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404 </w:t>
            </w:r>
            <w:proofErr w:type="spellStart"/>
            <w:r>
              <w:rPr>
                <w:color w:val="000000"/>
                <w:sz w:val="16"/>
              </w:rPr>
              <w:t>Not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Found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Recurso inexistente ou rota não encontrada.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409 </w:t>
            </w:r>
            <w:proofErr w:type="spellStart"/>
            <w:r>
              <w:rPr>
                <w:color w:val="000000"/>
                <w:sz w:val="16"/>
              </w:rPr>
              <w:t>Conflict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Conflito com o estado atual ou operação duplicada, como </w:t>
            </w:r>
            <w:r>
              <w:rPr>
                <w:color w:val="000000"/>
                <w:sz w:val="16"/>
              </w:rPr>
              <w:t>candidatura repetida.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933E13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422 </w:t>
            </w:r>
            <w:proofErr w:type="spellStart"/>
            <w:r w:rsidR="00A405EF">
              <w:rPr>
                <w:color w:val="000000"/>
                <w:sz w:val="16"/>
              </w:rPr>
              <w:t>U</w:t>
            </w:r>
            <w:r w:rsidR="00A405EF">
              <w:rPr>
                <w:color w:val="000000"/>
                <w:sz w:val="16"/>
              </w:rPr>
              <w:t>nprocessable</w:t>
            </w:r>
            <w:proofErr w:type="spellEnd"/>
            <w:r w:rsidR="00A405EF">
              <w:rPr>
                <w:color w:val="000000"/>
                <w:sz w:val="16"/>
              </w:rPr>
              <w:t xml:space="preserve"> </w:t>
            </w:r>
            <w:proofErr w:type="spellStart"/>
            <w:r w:rsidR="00A405EF">
              <w:rPr>
                <w:color w:val="000000"/>
                <w:sz w:val="16"/>
              </w:rPr>
              <w:t>Content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Requisição válida, mas com campos ou regras de negócio não atendidos.</w:t>
            </w:r>
          </w:p>
        </w:tc>
      </w:tr>
      <w:tr w:rsidR="00FF2F5C">
        <w:trPr>
          <w:cantSplit/>
          <w:jc w:val="center"/>
        </w:trPr>
        <w:tc>
          <w:tcPr>
            <w:tcW w:w="19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429 Too </w:t>
            </w:r>
            <w:proofErr w:type="spellStart"/>
            <w:r>
              <w:rPr>
                <w:color w:val="000000"/>
                <w:sz w:val="16"/>
              </w:rPr>
              <w:t>Many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Requests</w:t>
            </w:r>
            <w:proofErr w:type="spellEnd"/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Limite de requisições do usuário ou endereço de origem atingido.</w:t>
            </w:r>
          </w:p>
        </w:tc>
      </w:tr>
    </w:tbl>
    <w:p w:rsidR="00FF2F5C" w:rsidRDefault="00FF2F5C">
      <w:pPr>
        <w:spacing w:after="20"/>
      </w:pPr>
    </w:p>
    <w:p w:rsidR="00FF2F5C" w:rsidRDefault="00A405EF">
      <w:r>
        <w:t>Para evitar duplicidade de significado: usar 40</w:t>
      </w:r>
      <w:r>
        <w:t>0 para problemas de estrutura da requisição e 422 para validações dos campos ou regras de negócio. O código 409 fica reservado a conflitos com o estado atual do recurso.</w:t>
      </w:r>
    </w:p>
    <w:p w:rsidR="00FF2F5C" w:rsidRDefault="00A405EF">
      <w:pPr>
        <w:pStyle w:val="SectionTitle"/>
      </w:pPr>
      <w:r>
        <w:t>3. AUTENTICAÇÃO E AUTORIZAÇÃO</w:t>
      </w:r>
    </w:p>
    <w:p w:rsidR="00FF2F5C" w:rsidRDefault="00A405EF">
      <w:pPr>
        <w:pStyle w:val="Subttulo1"/>
      </w:pPr>
      <w:r>
        <w:t>3.1. Padrão de autenticação</w:t>
      </w:r>
    </w:p>
    <w:p w:rsidR="00FF2F5C" w:rsidRDefault="00A405EF">
      <w:r>
        <w:t>A autenticação deve ser centralizada no componente Autenticação e Acesso. O login utiliza e-mail e senha</w:t>
      </w:r>
      <w:r>
        <w:t>. A senha nunca é armazenada em texto puro.</w:t>
      </w:r>
    </w:p>
    <w:p w:rsidR="00FF2F5C" w:rsidRDefault="00A405EF">
      <w:pPr>
        <w:spacing w:after="60"/>
        <w:ind w:left="360" w:hanging="230"/>
      </w:pPr>
      <w:r>
        <w:t xml:space="preserve">•  Hash de senha: utilizar BCrypt, com salt gerado automaticamente. Se a stack Java </w:t>
      </w:r>
      <w:r>
        <w:t>21/Spring Boot proposta no System Design for confirmada, utilizar BCryptPasswordEncoder do Spring Security. A senha recebida no login é comparada com o hash armazenado; não existe processo de descriptografia.</w:t>
      </w:r>
    </w:p>
    <w:p w:rsidR="00FF2F5C" w:rsidRDefault="00A405EF">
      <w:pPr>
        <w:spacing w:after="60"/>
        <w:ind w:left="360" w:hanging="230"/>
      </w:pPr>
      <w:r>
        <w:t>•  Token de acesso: utilizar token assinado, co</w:t>
      </w:r>
      <w:r>
        <w:t>ntendo somente o identificador do usuário, o perfil e os dados mínimos de validade. Não incluir CPF, CNPJ, telefone, chave Pix ou outros dados pessoais no token.</w:t>
      </w:r>
    </w:p>
    <w:p w:rsidR="00FF2F5C" w:rsidRDefault="00A405EF">
      <w:pPr>
        <w:spacing w:after="60"/>
        <w:ind w:left="360" w:hanging="230"/>
      </w:pPr>
      <w:r>
        <w:t>•  Token de renovação: gerar um valor aleatório, armazenar somente seu hash na tabela token_re</w:t>
      </w:r>
      <w:r>
        <w:t>novacao e permitir sua invalidação no logout.</w:t>
      </w:r>
    </w:p>
    <w:p w:rsidR="00FF2F5C" w:rsidRDefault="00A405EF">
      <w:pPr>
        <w:pStyle w:val="Subttulo1"/>
      </w:pPr>
      <w:r>
        <w:t>3.2. Fluxo de login e renovação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1. </w:t>
      </w:r>
      <w:r>
        <w:t>O usuário informa e-mail e senha na tela de login.</w:t>
      </w:r>
    </w:p>
    <w:p w:rsidR="00FF2F5C" w:rsidRDefault="00A405EF">
      <w:pPr>
        <w:spacing w:after="80"/>
        <w:ind w:left="360" w:hanging="317"/>
      </w:pPr>
      <w:r>
        <w:rPr>
          <w:b/>
        </w:rPr>
        <w:lastRenderedPageBreak/>
        <w:t xml:space="preserve">2. </w:t>
      </w:r>
      <w:r>
        <w:t>A API localiza a conta pelo e-mail, compara a senha informada com o hash e verifica se a conta está ativa.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3. </w:t>
      </w:r>
      <w:r>
        <w:t>Se os dados</w:t>
      </w:r>
      <w:r>
        <w:t xml:space="preserve"> estiverem corretos, a API identifica o perfil e emite um token de acesso e um token de renovação.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4. </w:t>
      </w:r>
      <w:r>
        <w:t>O aplicativo utiliza o token de acesso nas chamadas seguintes, no cabeçalho Authorization. O backend valida assinatura, validade e perfil em toda requisiç</w:t>
      </w:r>
      <w:r>
        <w:t>ão protegida.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5. </w:t>
      </w:r>
      <w:r>
        <w:t>Quando o token de acesso expirar, o cliente solicita sua renovação. O backend valida o token de renovação, revoga o token anterior e emite um novo par de tokens.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6. </w:t>
      </w:r>
      <w:r>
        <w:t>Se os tokens estiverem inválidos, expirados ou revogados, a API responde 4</w:t>
      </w:r>
      <w:r>
        <w:t>01 e o usuário deve realizar login novamente.</w:t>
      </w:r>
    </w:p>
    <w:p w:rsidR="00FF2F5C" w:rsidRDefault="00A405EF">
      <w:r>
        <w:t>Tempos propostos para o MVP (não definidos nos documentos de origem):</w:t>
      </w:r>
    </w:p>
    <w:p w:rsidR="00FF2F5C" w:rsidRDefault="00A405EF">
      <w:pPr>
        <w:spacing w:after="60"/>
        <w:ind w:left="360" w:hanging="230"/>
      </w:pPr>
      <w:r>
        <w:t>•  Token de acesso: validade de 15 minutos.</w:t>
      </w:r>
    </w:p>
    <w:p w:rsidR="00FF2F5C" w:rsidRDefault="00A405EF">
      <w:pPr>
        <w:spacing w:after="60"/>
        <w:ind w:left="360" w:hanging="230"/>
      </w:pPr>
      <w:r>
        <w:t xml:space="preserve">•  Token de renovação: expiração após 30 minutos sem renovação/atividade de sessão e limite </w:t>
      </w:r>
      <w:r>
        <w:t>máximo de 7 dias; ao renovar, emitir novo token e atualizar a validade, respeitando o limite máximo.</w:t>
      </w:r>
    </w:p>
    <w:p w:rsidR="00FF2F5C" w:rsidRDefault="00A405EF">
      <w:r>
        <w:t>Esses valores equilibram implementação simples e redução do tempo de exposição de um token. A equipe pode ajustá-los após testes, mas deve manter uma expir</w:t>
      </w:r>
      <w:r>
        <w:t>ação por inatividade, conforme RNF05.</w:t>
      </w:r>
    </w:p>
    <w:p w:rsidR="00FF2F5C" w:rsidRDefault="00A405EF">
      <w:pPr>
        <w:pStyle w:val="Subttulo1"/>
      </w:pPr>
      <w:r>
        <w:t>3.3. Logout e recuperação de senha</w:t>
      </w:r>
    </w:p>
    <w:p w:rsidR="00FF2F5C" w:rsidRDefault="00A405EF">
      <w:pPr>
        <w:spacing w:after="60"/>
        <w:ind w:left="360" w:hanging="230"/>
      </w:pPr>
      <w:r>
        <w:t>•  Logout: o cliente apaga os tokens armazenados e solicita à API a revogação do token de renovação no banco. Um token revogado não pode ser utilizado novamente.</w:t>
      </w:r>
    </w:p>
    <w:p w:rsidR="00FF2F5C" w:rsidRDefault="00A405EF">
      <w:pPr>
        <w:spacing w:after="60"/>
        <w:ind w:left="360" w:hanging="230"/>
      </w:pPr>
      <w:r>
        <w:t>•  Recuperação: o usu</w:t>
      </w:r>
      <w:r>
        <w:t>ário informa o e-mail cadastrado; o sistema envia um token temporário somente para o e-mail validado, conforme RNF06.</w:t>
      </w:r>
    </w:p>
    <w:p w:rsidR="00FF2F5C" w:rsidRDefault="00A405EF">
      <w:pPr>
        <w:spacing w:after="60"/>
        <w:ind w:left="360" w:hanging="230"/>
      </w:pPr>
      <w:r>
        <w:t>•  O token de recuperação deve ser aleatório, de uso único, armazenado de forma protegida e válido por no máximo 15 minutos. Após a redefi</w:t>
      </w:r>
      <w:r>
        <w:t>nição, invalidar o token usado e revogar as sessões de renovação existentes.</w:t>
      </w:r>
    </w:p>
    <w:p w:rsidR="00FF2F5C" w:rsidRDefault="00A405EF">
      <w:pPr>
        <w:spacing w:after="60"/>
        <w:ind w:left="360" w:hanging="230"/>
      </w:pPr>
      <w:r>
        <w:t>•  A resposta inicial da solicitação de recuperação deve ser genérica, sem confirmar se o e-mail existe, para evitar descoberta de contas.</w:t>
      </w:r>
    </w:p>
    <w:p w:rsidR="00FF2F5C" w:rsidRDefault="00A405EF">
      <w:pPr>
        <w:pStyle w:val="Subttulo1"/>
      </w:pPr>
      <w:r>
        <w:t>3.4. Armazenamento dos tokens no cliente</w:t>
      </w:r>
    </w:p>
    <w:p w:rsidR="00FF2F5C" w:rsidRDefault="00A405EF">
      <w:pPr>
        <w:spacing w:after="60"/>
        <w:ind w:left="360" w:hanging="230"/>
      </w:pPr>
      <w:r>
        <w:t>•  Aplicativo mobile: guardar os tokens no armazenamento seguro do Android/iOS, nunca em arquivo de texto ou preferência sem proteção.</w:t>
      </w:r>
    </w:p>
    <w:p w:rsidR="00FF2F5C" w:rsidRDefault="00A405EF">
      <w:pPr>
        <w:spacing w:after="60"/>
        <w:ind w:left="360" w:hanging="230"/>
      </w:pPr>
      <w:r>
        <w:t xml:space="preserve">•  Aplicação web: utilizar cookies Secure, HttpOnly e SameSite, conforme a topologia descrita no System Design. O </w:t>
      </w:r>
      <w:r>
        <w:t>JavaScript da página não deve conseguir ler o token. Nas operações que alteram dados, habilitar proteção contra CSRF.</w:t>
      </w:r>
    </w:p>
    <w:p w:rsidR="00FF2F5C" w:rsidRDefault="00A405EF">
      <w:pPr>
        <w:pStyle w:val="Subttulo1"/>
      </w:pPr>
      <w:r>
        <w:t>3.5. Autorização por perfil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920"/>
      </w:tblGrid>
      <w:tr w:rsidR="00FF2F5C">
        <w:trPr>
          <w:cantSplit/>
          <w:tblHeader/>
          <w:jc w:val="center"/>
        </w:trPr>
        <w:tc>
          <w:tcPr>
            <w:tcW w:w="2016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w="7920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Permissões gerais</w:t>
            </w:r>
          </w:p>
        </w:tc>
      </w:tr>
      <w:tr w:rsidR="00FF2F5C">
        <w:trPr>
          <w:cantSplit/>
          <w:jc w:val="center"/>
        </w:trPr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4E0E33">
            <w:pPr>
              <w:spacing w:after="0" w:line="240" w:lineRule="auto"/>
              <w:ind w:firstLine="0"/>
            </w:pPr>
            <w:r>
              <w:rPr>
                <w:color w:val="000000"/>
                <w:sz w:val="17"/>
              </w:rPr>
              <w:t>EMPRESA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7"/>
              </w:rPr>
              <w:t xml:space="preserve">Gerenciar o próprio cadastro corporativo, suas vagas, candidaturas </w:t>
            </w:r>
            <w:r>
              <w:rPr>
                <w:color w:val="000000"/>
                <w:sz w:val="17"/>
              </w:rPr>
              <w:t>recebidas, contratações e operações financeiras autorizadas.</w:t>
            </w:r>
          </w:p>
        </w:tc>
      </w:tr>
      <w:tr w:rsidR="00FF2F5C">
        <w:trPr>
          <w:cantSplit/>
          <w:jc w:val="center"/>
        </w:trPr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4E0E33">
            <w:pPr>
              <w:spacing w:after="0" w:line="240" w:lineRule="auto"/>
              <w:ind w:firstLine="0"/>
            </w:pPr>
            <w:r>
              <w:rPr>
                <w:color w:val="000000"/>
                <w:sz w:val="17"/>
              </w:rPr>
              <w:t>FREELANCER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7"/>
              </w:rPr>
              <w:t>Gerenciar o próprio perfil, consultar vagas públicas, administrar suas candidaturas, contratações, carteira e dados de recebimento.</w:t>
            </w:r>
          </w:p>
        </w:tc>
      </w:tr>
      <w:tr w:rsidR="00FF2F5C">
        <w:trPr>
          <w:cantSplit/>
          <w:jc w:val="center"/>
        </w:trPr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4E0E33">
            <w:pPr>
              <w:spacing w:after="0" w:line="240" w:lineRule="auto"/>
              <w:ind w:firstLine="0"/>
            </w:pPr>
            <w:r>
              <w:rPr>
                <w:color w:val="000000"/>
                <w:sz w:val="17"/>
              </w:rPr>
              <w:t>ADMINISTRADOR</w:t>
            </w:r>
          </w:p>
        </w:tc>
        <w:tc>
          <w:tcPr>
            <w:tcW w:w="79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7"/>
              </w:rPr>
              <w:t>Acessar somente as funções administr</w:t>
            </w:r>
            <w:r>
              <w:rPr>
                <w:color w:val="000000"/>
                <w:sz w:val="17"/>
              </w:rPr>
              <w:t>ativas previstas no RF21, como moderação de disputas, análise de contestações e auditoria.</w:t>
            </w:r>
          </w:p>
        </w:tc>
      </w:tr>
    </w:tbl>
    <w:p w:rsidR="00FF2F5C" w:rsidRDefault="00FF2F5C">
      <w:pPr>
        <w:spacing w:after="20"/>
      </w:pPr>
    </w:p>
    <w:p w:rsidR="00FF2F5C" w:rsidRDefault="00A405EF">
      <w:r>
        <w:lastRenderedPageBreak/>
        <w:t>A API deve validar duas coisas em toda operação protegida: (1) se o perfil do token pode executar aquela ação; e (2) se o registro pertence ao usuário ou à empresa</w:t>
      </w:r>
      <w:r>
        <w:t xml:space="preserve"> autenticada. Ter o perfil correto não autoriza acessar dados de outra conta.</w:t>
      </w:r>
    </w:p>
    <w:p w:rsidR="00FF2F5C" w:rsidRDefault="00A405EF">
      <w:pPr>
        <w:pStyle w:val="Subttulo1"/>
      </w:pPr>
      <w:r>
        <w:t>3.6. Isolamento dos dados da Empresa e do Freelancer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1. </w:t>
      </w:r>
      <w:r>
        <w:t xml:space="preserve">O backend deve obter o identificador do usuário e da empresa a partir do token validado. Não deve confiar em empresaId ou </w:t>
      </w:r>
      <w:r>
        <w:t>usuarioId enviados livremente no corpo da requisição.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2. </w:t>
      </w:r>
      <w:r>
        <w:t>Nas consultas e alterações de recursos da Empresa, filtrar o registro pelo identificador da empresa autenticada. Por exemplo, a consulta de uma vaga deve verificar se a vaga pertence à empresa do tok</w:t>
      </w:r>
      <w:r>
        <w:t>en.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3. </w:t>
      </w:r>
      <w:r>
        <w:t>Se uma Empresa tentar acessar recurso de outra Empresa, a API deve negar a operação com 403, conforme RNF07.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4. </w:t>
      </w:r>
      <w:r>
        <w:t>O Freelancer só pode alterar seus próprios dados e acessar seus registros privados. Informações como CPF, RG e telefone pessoal não devem</w:t>
      </w:r>
      <w:r>
        <w:t xml:space="preserve"> ser exibidas à Empresa antes da contratação confirmada, conforme o System Design.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5. </w:t>
      </w:r>
      <w:r>
        <w:t>As regras devem ser aplicadas no backend e na consulta ao banco; esconder botões na interface não é controle de autorização.</w:t>
      </w:r>
    </w:p>
    <w:p w:rsidR="00FF2F5C" w:rsidRDefault="00A405EF">
      <w:pPr>
        <w:pStyle w:val="SectionTitle"/>
      </w:pPr>
      <w:r>
        <w:t>4. PROTEÇÃO DOS DADOS</w:t>
      </w:r>
    </w:p>
    <w:p w:rsidR="00FF2F5C" w:rsidRDefault="00A405EF">
      <w:pPr>
        <w:pStyle w:val="Subttulo1"/>
      </w:pPr>
      <w:r>
        <w:t xml:space="preserve">4.1. Dados em trânsito </w:t>
      </w:r>
      <w:r>
        <w:t>e em repouso</w:t>
      </w:r>
    </w:p>
    <w:p w:rsidR="00FF2F5C" w:rsidRDefault="00A405EF">
      <w:pPr>
        <w:spacing w:after="60"/>
        <w:ind w:left="360" w:hanging="230"/>
      </w:pPr>
      <w:r>
        <w:t>•  Em trânsito: todas as comunicações entre cliente e backend devem usar HTTPS/TLS. Não disponibilizar endpoints autenticados por HTTP sem criptografia.</w:t>
      </w:r>
    </w:p>
    <w:p w:rsidR="00FF2F5C" w:rsidRDefault="00A405EF">
      <w:pPr>
        <w:spacing w:after="60"/>
        <w:ind w:left="360" w:hanging="230"/>
      </w:pPr>
      <w:r>
        <w:t>•  Em repouso: quando o provedor de nuvem for escolhido, habilitar criptografia gerenciada</w:t>
      </w:r>
      <w:r>
        <w:t xml:space="preserve"> do armazenamento do PostgreSQL e do armazenamento de arquivos. Preferir a criptografia nativa do provedor para reduzir código próprio e dificuldade de manutenção.</w:t>
      </w:r>
    </w:p>
    <w:p w:rsidR="00FF2F5C" w:rsidRDefault="00A405EF">
      <w:pPr>
        <w:spacing w:after="60"/>
        <w:ind w:left="360" w:hanging="230"/>
      </w:pPr>
      <w:r>
        <w:t>•  As chaves, senhas de banco e segredos usados para assinar tokens devem ficar em variáveis</w:t>
      </w:r>
      <w:r>
        <w:t xml:space="preserve"> de ambiente ou serviço de gerenciamento de segredos; nunca devem ser enviados ao GitHub ou gravados no código.</w:t>
      </w:r>
    </w:p>
    <w:p w:rsidR="00FF2F5C" w:rsidRDefault="00A405EF">
      <w:pPr>
        <w:spacing w:after="60"/>
        <w:ind w:left="360" w:hanging="230"/>
      </w:pPr>
      <w:r>
        <w:t>•  Em desenvolvimento, utilizar dados fictícios. Não copiar CPF, documentos, chaves Pix ou dados reais de usuários para bases locais.</w:t>
      </w:r>
    </w:p>
    <w:p w:rsidR="00FF2F5C" w:rsidRDefault="00A405EF">
      <w:pPr>
        <w:spacing w:after="60"/>
        <w:ind w:left="360" w:hanging="230"/>
      </w:pPr>
      <w:r>
        <w:t xml:space="preserve">•  Fotos, </w:t>
      </w:r>
      <w:r>
        <w:t>currículos e evidências devem ficar no armazenamento de arquivos, com acesso privado e liberação somente após validação de permissão. O banco mantém a referência/URL, conforme o desenho atual.</w:t>
      </w:r>
    </w:p>
    <w:p w:rsidR="00FF2F5C" w:rsidRDefault="00A405EF">
      <w:pPr>
        <w:pStyle w:val="Subttulo1"/>
      </w:pPr>
      <w:r>
        <w:t>4.2. Dados financeiros e medidas antifraude</w:t>
      </w:r>
    </w:p>
    <w:p w:rsidR="00FF2F5C" w:rsidRDefault="00A405EF">
      <w:pPr>
        <w:spacing w:after="60"/>
        <w:ind w:left="360" w:hanging="230"/>
      </w:pPr>
      <w:r>
        <w:t>•  Não armazenar nú</w:t>
      </w:r>
      <w:r>
        <w:t>mero completo de cartão ou CVV. O gateway certificado processa os dados de cartão; o Freelas guarda apenas o token e os dados mínimos de referência, conforme RNF17.</w:t>
      </w:r>
    </w:p>
    <w:p w:rsidR="00FF2F5C" w:rsidRDefault="00A405EF">
      <w:pPr>
        <w:spacing w:after="60"/>
        <w:ind w:left="360" w:hanging="230"/>
      </w:pPr>
      <w:r>
        <w:t>•  As chaves Pix e dados bancários do Freelancer devem permanecer protegidos em repouso e s</w:t>
      </w:r>
      <w:r>
        <w:t>er acessíveis somente ao módulo Financeiro e às operações autorizadas.</w:t>
      </w:r>
    </w:p>
    <w:p w:rsidR="00FF2F5C" w:rsidRDefault="00A405EF">
      <w:pPr>
        <w:spacing w:after="60"/>
        <w:ind w:left="360" w:hanging="230"/>
      </w:pPr>
      <w:r>
        <w:t>•  A alteração de chave Pix ou dados bancários exige autenticação de dois fatores e bloqueia saques por 24 horas, conforme RN-CART-16.</w:t>
      </w:r>
    </w:p>
    <w:p w:rsidR="00FF2F5C" w:rsidRDefault="00A405EF">
      <w:pPr>
        <w:spacing w:after="60"/>
        <w:ind w:left="360" w:hanging="230"/>
      </w:pPr>
      <w:r>
        <w:t xml:space="preserve">•  Saques só podem ser feitos para conta de mesma </w:t>
      </w:r>
      <w:r>
        <w:t>titularidade/CPF, conforme RN-CART-14.</w:t>
      </w:r>
    </w:p>
    <w:p w:rsidR="00FF2F5C" w:rsidRDefault="00A405EF">
      <w:pPr>
        <w:spacing w:after="60"/>
        <w:ind w:left="360" w:hanging="230"/>
      </w:pPr>
      <w:r>
        <w:t>•  Aplicar limite de requisições por usuário, com contadores compartilhados no Redis, conforme RNF30. Ao atingir o limite, responder 429.</w:t>
      </w:r>
    </w:p>
    <w:p w:rsidR="00FF2F5C" w:rsidRDefault="00A405EF">
      <w:pPr>
        <w:pStyle w:val="Subttulo1"/>
      </w:pPr>
      <w:r>
        <w:lastRenderedPageBreak/>
        <w:t>4.3. Tratamento conforme a LGPD</w:t>
      </w:r>
    </w:p>
    <w:p w:rsidR="00FF2F5C" w:rsidRDefault="00A405EF">
      <w:pPr>
        <w:spacing w:after="60"/>
        <w:ind w:left="360" w:hanging="230"/>
      </w:pPr>
      <w:r>
        <w:t>•  Coletar somente dados necessários à finalida</w:t>
      </w:r>
      <w:r>
        <w:t>de de cadastro, contratação, pagamento, prevenção a fraude e suporte.</w:t>
      </w:r>
    </w:p>
    <w:p w:rsidR="00FF2F5C" w:rsidRDefault="00A405EF">
      <w:pPr>
        <w:spacing w:after="60"/>
        <w:ind w:left="360" w:hanging="230"/>
      </w:pPr>
      <w:r>
        <w:t>•  Informar ao titular quais dados são tratados, para quais finalidades e com qual base legal. Registrar consentimento específico quando essa for a base aplicável, inclusive para dados s</w:t>
      </w:r>
      <w:r>
        <w:t>ensíveis, conforme RNF19.</w:t>
      </w:r>
    </w:p>
    <w:p w:rsidR="00FF2F5C" w:rsidRDefault="00A405EF">
      <w:pPr>
        <w:spacing w:after="60"/>
        <w:ind w:left="360" w:hanging="230"/>
      </w:pPr>
      <w:r>
        <w:t>•  Permitir solicitação de acesso, correção e exclusão dos dados pessoais, conforme RNF22. Antes de excluir, verificar se existe obrigação legal/regulatória ou necessidade legítima de conservação para exercício regular de direitos</w:t>
      </w:r>
      <w:r>
        <w:t>.</w:t>
      </w:r>
    </w:p>
    <w:p w:rsidR="00FF2F5C" w:rsidRDefault="00A405EF">
      <w:pPr>
        <w:spacing w:after="60"/>
        <w:ind w:left="360" w:hanging="230"/>
      </w:pPr>
      <w:r>
        <w:t>•  Ao terminar a finalidade, excluir ou anonimizar os dados, respeitando as hipóteses de conservação permitidas pela LGPD. A lei não estabelece um único prazo fixo para todas as categorias de dados; o prazo deve ser definido por finalidade.</w:t>
      </w:r>
    </w:p>
    <w:p w:rsidR="00FF2F5C" w:rsidRDefault="00A405EF">
      <w:pPr>
        <w:pStyle w:val="SectionTitle"/>
      </w:pPr>
      <w:r>
        <w:t>5. POLÍTICA D</w:t>
      </w:r>
      <w:r>
        <w:t>E BACKUP E RECUPERAÇÃO</w:t>
      </w:r>
    </w:p>
    <w:p w:rsidR="00FF2F5C" w:rsidRDefault="00A405EF">
      <w:r>
        <w:t>A política recomendada mantém a estratégia já descrita no System Design e acrescenta regras operacionais para que a cópia possa ser recuperada.</w:t>
      </w:r>
    </w:p>
    <w:p w:rsidR="00FF2F5C" w:rsidRDefault="00A405EF">
      <w:pPr>
        <w:spacing w:after="60"/>
        <w:ind w:left="360" w:hanging="230"/>
      </w:pPr>
      <w:r>
        <w:t>•  Executar backup completo do PostgreSQL diariamente.</w:t>
      </w:r>
    </w:p>
    <w:p w:rsidR="00FF2F5C" w:rsidRDefault="00A405EF">
      <w:pPr>
        <w:spacing w:after="60"/>
        <w:ind w:left="360" w:hanging="230"/>
      </w:pPr>
      <w:r>
        <w:t>•  Manter arquivamento contínuo do</w:t>
      </w:r>
      <w:r>
        <w:t>s logs de transação (WAL), permitindo recuperar o banco até um ponto próximo da falha.</w:t>
      </w:r>
    </w:p>
    <w:p w:rsidR="00FF2F5C" w:rsidRDefault="00A405EF">
      <w:pPr>
        <w:spacing w:after="60"/>
        <w:ind w:left="360" w:hanging="230"/>
      </w:pPr>
      <w:r>
        <w:t>•  Guardar uma cópia criptografada fora do servidor principal, com acesso restrito a responsáveis técnicos.</w:t>
      </w:r>
    </w:p>
    <w:p w:rsidR="00FF2F5C" w:rsidRDefault="00A405EF">
      <w:pPr>
        <w:spacing w:after="60"/>
        <w:ind w:left="360" w:hanging="230"/>
      </w:pPr>
      <w:r>
        <w:t>•  Prazo proposto de retenção dos backups: 30 dias em ciclo c</w:t>
      </w:r>
      <w:r>
        <w:t>ontínuo. Após esse período, eliminar as cópias vencidas.</w:t>
      </w:r>
    </w:p>
    <w:p w:rsidR="00FF2F5C" w:rsidRDefault="00A405EF">
      <w:pPr>
        <w:spacing w:after="60"/>
        <w:ind w:left="360" w:hanging="230"/>
      </w:pPr>
      <w:r>
        <w:t>•  Realizar teste de restauração pelo menos uma vez por mês em ambiente separado. Registrar data, responsável, resultado e falhas encontradas.</w:t>
      </w:r>
    </w:p>
    <w:p w:rsidR="00FF2F5C" w:rsidRDefault="00A405EF">
      <w:pPr>
        <w:spacing w:after="60"/>
        <w:ind w:left="360" w:hanging="230"/>
      </w:pPr>
      <w:r>
        <w:t xml:space="preserve">•  Após restaurar um backup, reaplicar as solicitações </w:t>
      </w:r>
      <w:r>
        <w:t>de exclusão que tenham sido concluídas depois da data da cópia, para evitar que dados já excluídos retornem ao sistema.</w:t>
      </w:r>
    </w:p>
    <w:p w:rsidR="00FF2F5C" w:rsidRDefault="00A405EF">
      <w:pPr>
        <w:pStyle w:val="SectionTitle"/>
      </w:pPr>
      <w:r>
        <w:t>6. PRAZOS DE RETENÇÃO DE DADOS</w:t>
      </w:r>
    </w:p>
    <w:p w:rsidR="00FF2F5C" w:rsidRDefault="00A405EF">
      <w:r>
        <w:t>Os prazos abaixo são propostas operacionais para o MVP, e não devem ser apresentados como prazos universa</w:t>
      </w:r>
      <w:r>
        <w:t>is determinados pela LGPD. Os prazos de documentos financeiros e contratuais precisam ser confirmados com orientação contábil/jurídica antes da produção.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960"/>
        <w:gridCol w:w="3744"/>
      </w:tblGrid>
      <w:tr w:rsidR="00FF2F5C">
        <w:trPr>
          <w:cantSplit/>
          <w:tblHeader/>
          <w:jc w:val="center"/>
        </w:trPr>
        <w:tc>
          <w:tcPr>
            <w:tcW w:w="2232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w="3960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Prazo proposto</w:t>
            </w:r>
          </w:p>
        </w:tc>
        <w:tc>
          <w:tcPr>
            <w:tcW w:w="3744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Ação ao final do prazo</w:t>
            </w:r>
          </w:p>
        </w:tc>
      </w:tr>
      <w:tr w:rsidR="00FF2F5C">
        <w:trPr>
          <w:cantSplit/>
          <w:jc w:val="center"/>
        </w:trPr>
        <w:tc>
          <w:tcPr>
            <w:tcW w:w="22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933E13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 xml:space="preserve">Cadastro </w:t>
            </w:r>
            <w:r w:rsidR="00A405EF">
              <w:rPr>
                <w:color w:val="000000"/>
                <w:sz w:val="15"/>
              </w:rPr>
              <w:t>e perfil (dados pessoais)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Enquanto a conta e</w:t>
            </w:r>
            <w:r>
              <w:rPr>
                <w:color w:val="000000"/>
                <w:sz w:val="15"/>
              </w:rPr>
              <w:t>stiver ativa. Após encerramento ou solicitação validada: até 30 dias para excluir ou anonimizar, salvo retenção permitida.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 xml:space="preserve">Excluir ou </w:t>
            </w:r>
            <w:proofErr w:type="spellStart"/>
            <w:r>
              <w:rPr>
                <w:color w:val="000000"/>
                <w:sz w:val="15"/>
              </w:rPr>
              <w:t>anonimizar</w:t>
            </w:r>
            <w:proofErr w:type="spellEnd"/>
            <w:r>
              <w:rPr>
                <w:color w:val="000000"/>
                <w:sz w:val="15"/>
              </w:rPr>
              <w:t xml:space="preserve"> os dados não necessários.</w:t>
            </w:r>
          </w:p>
        </w:tc>
      </w:tr>
      <w:tr w:rsidR="00FF2F5C">
        <w:trPr>
          <w:cantSplit/>
          <w:jc w:val="center"/>
        </w:trPr>
        <w:tc>
          <w:tcPr>
            <w:tcW w:w="22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Currículos, documentos de verificação e evidências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 xml:space="preserve">Enquanto forem necessários à </w:t>
            </w:r>
            <w:r>
              <w:rPr>
                <w:color w:val="000000"/>
                <w:sz w:val="15"/>
              </w:rPr>
              <w:t>finalidade. Após encerramento/solicitação: até 30 dias, salvo contrato, disputa ou obrigação de guarda.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Excluir arquivos e referências que não precisem ser mantidos.</w:t>
            </w:r>
          </w:p>
        </w:tc>
      </w:tr>
      <w:tr w:rsidR="00FF2F5C">
        <w:trPr>
          <w:cantSplit/>
          <w:jc w:val="center"/>
        </w:trPr>
        <w:tc>
          <w:tcPr>
            <w:tcW w:w="22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Mensagens do chat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12 meses após a última mensagem, como proposta inicial.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 xml:space="preserve">Excluir ou </w:t>
            </w:r>
            <w:proofErr w:type="spellStart"/>
            <w:r>
              <w:rPr>
                <w:color w:val="000000"/>
                <w:sz w:val="15"/>
              </w:rPr>
              <w:t>anon</w:t>
            </w:r>
            <w:r>
              <w:rPr>
                <w:color w:val="000000"/>
                <w:sz w:val="15"/>
              </w:rPr>
              <w:t>imizar</w:t>
            </w:r>
            <w:proofErr w:type="spellEnd"/>
            <w:r>
              <w:rPr>
                <w:color w:val="000000"/>
                <w:sz w:val="15"/>
              </w:rPr>
              <w:t>, exceto conteúdo vinculado a disputa ou obrigação legal.</w:t>
            </w:r>
          </w:p>
        </w:tc>
      </w:tr>
      <w:tr w:rsidR="00FF2F5C">
        <w:trPr>
          <w:cantSplit/>
          <w:jc w:val="center"/>
        </w:trPr>
        <w:tc>
          <w:tcPr>
            <w:tcW w:w="22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Contratações, pagamentos e comprovantes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5 anos após a transação/encerramento, como proposta sujeita a validação contábil e jurídica.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Eliminar dados pessoais excessivos e manter somente o regi</w:t>
            </w:r>
            <w:r>
              <w:rPr>
                <w:color w:val="000000"/>
                <w:sz w:val="15"/>
              </w:rPr>
              <w:t>stro mínimo exigido.</w:t>
            </w:r>
          </w:p>
        </w:tc>
      </w:tr>
      <w:tr w:rsidR="00FF2F5C">
        <w:trPr>
          <w:cantSplit/>
          <w:jc w:val="center"/>
        </w:trPr>
        <w:tc>
          <w:tcPr>
            <w:tcW w:w="22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Notificações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90 dias, prazo já definido no System Design.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Apagar os registros vencidos/partições mensais.</w:t>
            </w:r>
          </w:p>
        </w:tc>
      </w:tr>
      <w:tr w:rsidR="00FF2F5C">
        <w:trPr>
          <w:cantSplit/>
          <w:jc w:val="center"/>
        </w:trPr>
        <w:tc>
          <w:tcPr>
            <w:tcW w:w="22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Registros de acesso à aplicação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6 meses, observadas as condições do art. 15 do Marco Civil da Internet.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 xml:space="preserve">Eliminar após o prazo, </w:t>
            </w:r>
            <w:r>
              <w:rPr>
                <w:color w:val="000000"/>
                <w:sz w:val="15"/>
              </w:rPr>
              <w:t>salvo ordem legal de preservação.</w:t>
            </w:r>
          </w:p>
        </w:tc>
      </w:tr>
      <w:tr w:rsidR="00FF2F5C">
        <w:trPr>
          <w:cantSplit/>
          <w:jc w:val="center"/>
        </w:trPr>
        <w:tc>
          <w:tcPr>
            <w:tcW w:w="22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Logs de auditoria de operações sensíveis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2 anos, como proposta interna; revisar conforme finalidade e necessidade.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 xml:space="preserve">Excluir ou </w:t>
            </w:r>
            <w:proofErr w:type="spellStart"/>
            <w:r>
              <w:rPr>
                <w:color w:val="000000"/>
                <w:sz w:val="15"/>
              </w:rPr>
              <w:t>anonimizar</w:t>
            </w:r>
            <w:proofErr w:type="spellEnd"/>
            <w:r>
              <w:rPr>
                <w:color w:val="000000"/>
                <w:sz w:val="15"/>
              </w:rPr>
              <w:t xml:space="preserve"> os registros vencidos.</w:t>
            </w:r>
          </w:p>
        </w:tc>
      </w:tr>
      <w:tr w:rsidR="00FF2F5C">
        <w:trPr>
          <w:cantSplit/>
          <w:jc w:val="center"/>
        </w:trPr>
        <w:tc>
          <w:tcPr>
            <w:tcW w:w="22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Backups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30 dias em ciclo contínuo, conforme proposta da seçã</w:t>
            </w:r>
            <w:r>
              <w:rPr>
                <w:color w:val="000000"/>
                <w:sz w:val="15"/>
              </w:rPr>
              <w:t>o 5.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5"/>
              </w:rPr>
              <w:t>Eliminar as cópias vencidas.</w:t>
            </w:r>
          </w:p>
        </w:tc>
      </w:tr>
    </w:tbl>
    <w:p w:rsidR="00FF2F5C" w:rsidRDefault="00FF2F5C">
      <w:pPr>
        <w:spacing w:after="20"/>
      </w:pPr>
    </w:p>
    <w:p w:rsidR="00FF2F5C" w:rsidRDefault="00A405EF">
      <w:r>
        <w:t>Observação importante: o prazo legal de 6 meses do Marco Civil aplica-se aos registros de acesso à aplicação mantidos por provedor que se enquadre no art. 15. Esses registros devem ficar sob sigilo, em ambiente controlad</w:t>
      </w:r>
      <w:r>
        <w:t>o e seguro. Eles não são a mesma coisa que todos os eventos funcionais registrados no log de auditoria.</w:t>
      </w:r>
    </w:p>
    <w:p w:rsidR="00FF2F5C" w:rsidRDefault="00A405EF">
      <w:pPr>
        <w:pStyle w:val="SectionTitle"/>
      </w:pPr>
      <w:r>
        <w:t>7. LOGS DE AUDITORIA E MONITORAMENTO</w:t>
      </w:r>
    </w:p>
    <w:p w:rsidR="00FF2F5C" w:rsidRDefault="00A405EF">
      <w:r>
        <w:t>O Freelas deve utilizar a tabela logs_auditoria e o fluxo de auditoria já previsto na arquitetura. Os eventos podem</w:t>
      </w:r>
      <w:r>
        <w:t xml:space="preserve"> ser encaminhados pela Fila de tarefas e processados pelo worker, sem bloquear a resposta do usuário quando o registro puder ser assíncrono.</w:t>
      </w:r>
    </w:p>
    <w:p w:rsidR="00FF2F5C" w:rsidRDefault="00A405EF">
      <w:pPr>
        <w:pStyle w:val="Subttulo1"/>
      </w:pPr>
      <w:r>
        <w:t>7.1. Eventos que devem ser registrados</w:t>
      </w:r>
    </w:p>
    <w:p w:rsidR="00FF2F5C" w:rsidRDefault="00A405EF">
      <w:pPr>
        <w:spacing w:after="60"/>
        <w:ind w:left="360" w:hanging="230"/>
      </w:pPr>
      <w:r>
        <w:t xml:space="preserve">•  Login bem-sucedido, login recusado, logout, renovação de token e </w:t>
      </w:r>
      <w:r>
        <w:t>recuperação/alteração de senha.</w:t>
      </w:r>
    </w:p>
    <w:p w:rsidR="00FF2F5C" w:rsidRDefault="00A405EF">
      <w:pPr>
        <w:spacing w:after="60"/>
        <w:ind w:left="360" w:hanging="230"/>
      </w:pPr>
      <w:r>
        <w:t>•  Acesso negado por perfil ou por tentativa de acessar recurso de outra Empresa/usuário.</w:t>
      </w:r>
    </w:p>
    <w:p w:rsidR="00FF2F5C" w:rsidRDefault="00A405EF">
      <w:pPr>
        <w:spacing w:after="60"/>
        <w:ind w:left="360" w:hanging="230"/>
      </w:pPr>
      <w:r>
        <w:t>•  Criação, edição, publicação, encerramento e exclusão de vagas.</w:t>
      </w:r>
    </w:p>
    <w:p w:rsidR="00FF2F5C" w:rsidRDefault="00A405EF">
      <w:pPr>
        <w:spacing w:after="60"/>
        <w:ind w:left="360" w:hanging="230"/>
      </w:pPr>
      <w:r>
        <w:t>•  Alterações de dados cadastrais sensíveis, dados bancários/chave P</w:t>
      </w:r>
      <w:r>
        <w:t>ix e ativação de autenticação de dois fatores.</w:t>
      </w:r>
    </w:p>
    <w:p w:rsidR="00FF2F5C" w:rsidRDefault="00A405EF">
      <w:pPr>
        <w:spacing w:after="60"/>
        <w:ind w:left="360" w:hanging="230"/>
      </w:pPr>
      <w:r>
        <w:t>•  Ações administrativas, alterações de status de contratação e operações financeiras relevantes, incluindo mudanças no estado de pagamento.</w:t>
      </w:r>
    </w:p>
    <w:p w:rsidR="00FF2F5C" w:rsidRDefault="00A405EF">
      <w:pPr>
        <w:spacing w:after="60"/>
        <w:ind w:left="360" w:hanging="230"/>
      </w:pPr>
      <w:r>
        <w:t>•  Solicitações de acesso, correção e exclusão de dados pessoais.</w:t>
      </w:r>
    </w:p>
    <w:p w:rsidR="00FF2F5C" w:rsidRDefault="00A405EF">
      <w:pPr>
        <w:pStyle w:val="Subttulo1"/>
      </w:pPr>
      <w:r>
        <w:t>7.</w:t>
      </w:r>
      <w:r>
        <w:t>2. Informações mínimas de cada registro</w:t>
      </w:r>
    </w:p>
    <w:p w:rsidR="00FF2F5C" w:rsidRDefault="00A405EF">
      <w:pPr>
        <w:spacing w:after="60"/>
        <w:ind w:left="360" w:hanging="230"/>
      </w:pPr>
      <w:r>
        <w:t>•  Data e hora em UTC; identificador do usuário quando conhecido; perfil; ação executada; recurso afetado e seu identificador; resultado (sucesso/falha); endereço IP quando necessário para o registro de acesso; ident</w:t>
      </w:r>
      <w:r>
        <w:t>ificador da requisição (requestId).</w:t>
      </w:r>
    </w:p>
    <w:p w:rsidR="00FF2F5C" w:rsidRDefault="00A405EF">
      <w:pPr>
        <w:spacing w:after="60"/>
        <w:ind w:left="360" w:hanging="230"/>
      </w:pPr>
      <w:r>
        <w:t>•  Não registrar senha, token de acesso, token de renovação, token de recuperação, número completo de cartão, CVV, chave Pix completa, dados bancários completos ou conteúdo integral de documentos.</w:t>
      </w:r>
    </w:p>
    <w:p w:rsidR="00FF2F5C" w:rsidRDefault="00A405EF">
      <w:pPr>
        <w:spacing w:after="60"/>
        <w:ind w:left="360" w:hanging="230"/>
      </w:pPr>
      <w:r>
        <w:t xml:space="preserve">•  Restringir a </w:t>
      </w:r>
      <w:r>
        <w:t>consulta aos logs a pessoas autorizadas. As consultas administrativas aos próprios logs também devem ser auditadas.</w:t>
      </w:r>
    </w:p>
    <w:p w:rsidR="00FF2F5C" w:rsidRDefault="00A405EF">
      <w:pPr>
        <w:spacing w:after="60"/>
        <w:ind w:left="360" w:hanging="230"/>
      </w:pPr>
      <w:r>
        <w:t xml:space="preserve">•  Manter a organização mensal/particionada de logs_auditoria prevista na estratégia de escalabilidade, aplicando automaticamente os prazos </w:t>
      </w:r>
      <w:r>
        <w:t>de retenção definidos na seção 6.</w:t>
      </w:r>
    </w:p>
    <w:p w:rsidR="00FF2F5C" w:rsidRDefault="00A405EF">
      <w:pPr>
        <w:pStyle w:val="SectionTitle"/>
      </w:pPr>
      <w:r>
        <w:t>8. ORDEM RECOMENDADA DE IMPLEMENTAÇÃO</w:t>
      </w:r>
    </w:p>
    <w:p w:rsidR="00FF2F5C" w:rsidRDefault="00A405EF">
      <w:r>
        <w:t>Para reduzir a dificuldade de desenvolvimento do zero, recomenda-se executar as tarefas nesta ordem: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1. </w:t>
      </w:r>
      <w:r>
        <w:t xml:space="preserve">Padronizar os caminhos, nomes dos recursos, campos JSON, paginação e formato de </w:t>
      </w:r>
      <w:r>
        <w:t>erro nos documentos de endpoints da Empresa e do Freelancer.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2. </w:t>
      </w:r>
      <w:r>
        <w:t>Criar a tabela token_renovacao e implementar login, validação do token de acesso, renovação e logout.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3. </w:t>
      </w:r>
      <w:r>
        <w:t>Implementar a recuperação de senha com token de uso único e validade máxima de 15 minut</w:t>
      </w:r>
      <w:r>
        <w:t>os.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4. </w:t>
      </w:r>
      <w:r>
        <w:t>Aplicar as regras de perfil e os filtros de propriedade dos registros no backend; testar tentativas de acesso cruzado entre duas Empresas e entre dois Freelancers.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5. </w:t>
      </w:r>
      <w:r>
        <w:t xml:space="preserve">Habilitar HTTPS, proteção de segredos e criptografia gerenciada do banco/arquivos </w:t>
      </w:r>
      <w:r>
        <w:t>quando a hospedagem for definida.</w:t>
      </w:r>
    </w:p>
    <w:p w:rsidR="00FF2F5C" w:rsidRDefault="00A405EF">
      <w:pPr>
        <w:spacing w:after="80"/>
        <w:ind w:left="360" w:hanging="317"/>
      </w:pPr>
      <w:r>
        <w:rPr>
          <w:b/>
        </w:rPr>
        <w:lastRenderedPageBreak/>
        <w:t xml:space="preserve">6. </w:t>
      </w:r>
      <w:r>
        <w:t>Implementar backup diário, arquivamento WAL e teste de restauração.</w:t>
      </w:r>
    </w:p>
    <w:p w:rsidR="00FF2F5C" w:rsidRDefault="00A405EF">
      <w:pPr>
        <w:spacing w:after="80"/>
        <w:ind w:left="360" w:hanging="317"/>
      </w:pPr>
      <w:r>
        <w:rPr>
          <w:b/>
        </w:rPr>
        <w:t xml:space="preserve">7. </w:t>
      </w:r>
      <w:r>
        <w:t>Registrar eventos de auditoria, configurar os prazos de retenção e testar a exclusão/anonimização.</w:t>
      </w:r>
    </w:p>
    <w:p w:rsidR="00FF2F5C" w:rsidRDefault="00A405EF">
      <w:r>
        <w:t>Se a stack Java 21 com Spring Boot for confirmada</w:t>
      </w:r>
      <w:r>
        <w:t>, Spring Security reduz o trabalho de filtros de autenticação e autorização e oferece BCryptPasswordEncoder para hash de senhas. Essa stack ainda aparece como proposta no System Design e precisa de confirmação da equipe.</w:t>
      </w:r>
    </w:p>
    <w:p w:rsidR="00FF2F5C" w:rsidRDefault="00A405EF">
      <w:pPr>
        <w:pStyle w:val="SectionTitle"/>
      </w:pPr>
      <w:r>
        <w:t>9. CRITÉRIOS DE ACEITE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FF2F5C">
        <w:trPr>
          <w:cantSplit/>
          <w:tblHeader/>
          <w:jc w:val="center"/>
        </w:trPr>
        <w:tc>
          <w:tcPr>
            <w:tcW w:w="2592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w="7344" w:type="dxa"/>
            <w:shd w:val="clear" w:color="auto" w:fill="34495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Com</w:t>
            </w:r>
            <w:r>
              <w:rPr>
                <w:b/>
                <w:color w:val="FFFFFF"/>
                <w:sz w:val="16"/>
              </w:rPr>
              <w:t>o verificar que foi atendido</w:t>
            </w:r>
          </w:p>
        </w:tc>
      </w:tr>
      <w:tr w:rsidR="00FF2F5C">
        <w:trPr>
          <w:cantSplit/>
          <w:jc w:val="center"/>
        </w:trPr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Padrão da API definido</w:t>
            </w:r>
          </w:p>
        </w:tc>
        <w:tc>
          <w:tcPr>
            <w:tcW w:w="73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bookmarkStart w:id="0" w:name="_GoBack"/>
            <w:bookmarkEnd w:id="0"/>
            <w:r>
              <w:rPr>
                <w:color w:val="000000"/>
                <w:sz w:val="16"/>
              </w:rPr>
              <w:t>Rotas, métodos HTTP, nomes em português/plural, camelCase, versionamento, paginação, códigos HTTP e formato de erro estão descritos e alinhados para Empresa e Freelancer.</w:t>
            </w:r>
          </w:p>
        </w:tc>
      </w:tr>
      <w:tr w:rsidR="00FF2F5C">
        <w:trPr>
          <w:cantSplit/>
          <w:jc w:val="center"/>
        </w:trPr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Exemplo de requisição e </w:t>
            </w:r>
            <w:r>
              <w:rPr>
                <w:color w:val="000000"/>
                <w:sz w:val="16"/>
              </w:rPr>
              <w:t>resposta</w:t>
            </w:r>
          </w:p>
        </w:tc>
        <w:tc>
          <w:tcPr>
            <w:tcW w:w="73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O documento contém exemplo de chamada paginada e respectiva resposta JSON.</w:t>
            </w:r>
          </w:p>
        </w:tc>
      </w:tr>
      <w:tr w:rsidR="00FF2F5C">
        <w:trPr>
          <w:cantSplit/>
          <w:jc w:val="center"/>
        </w:trPr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Autenticação definida</w:t>
            </w:r>
          </w:p>
        </w:tc>
        <w:tc>
          <w:tcPr>
            <w:tcW w:w="73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Fluxos de </w:t>
            </w:r>
            <w:proofErr w:type="spellStart"/>
            <w:r>
              <w:rPr>
                <w:color w:val="000000"/>
                <w:sz w:val="16"/>
              </w:rPr>
              <w:t>login</w:t>
            </w:r>
            <w:proofErr w:type="spellEnd"/>
            <w:r>
              <w:rPr>
                <w:color w:val="000000"/>
                <w:sz w:val="16"/>
              </w:rPr>
              <w:t>, renovação, logout e recuperação de senha estão descritos, incluindo validade e revogação de tokens.</w:t>
            </w:r>
          </w:p>
        </w:tc>
      </w:tr>
      <w:tr w:rsidR="00FF2F5C">
        <w:trPr>
          <w:cantSplit/>
          <w:jc w:val="center"/>
        </w:trPr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Autorização por perfil definida</w:t>
            </w:r>
          </w:p>
        </w:tc>
        <w:tc>
          <w:tcPr>
            <w:tcW w:w="73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Empresa, Freelancer e Administrador possuem permissões gerais descritas; a API valida perfil e titularidade do recurso.</w:t>
            </w:r>
          </w:p>
        </w:tc>
      </w:tr>
      <w:tr w:rsidR="00FF2F5C">
        <w:trPr>
          <w:cantSplit/>
          <w:jc w:val="center"/>
        </w:trPr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Criptografia definida</w:t>
            </w:r>
          </w:p>
        </w:tc>
        <w:tc>
          <w:tcPr>
            <w:tcW w:w="73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 xml:space="preserve">HTTPS é obrigatório; </w:t>
            </w:r>
            <w:proofErr w:type="spellStart"/>
            <w:r>
              <w:rPr>
                <w:color w:val="000000"/>
                <w:sz w:val="16"/>
              </w:rPr>
              <w:t>hash</w:t>
            </w:r>
            <w:proofErr w:type="spellEnd"/>
            <w:r>
              <w:rPr>
                <w:color w:val="000000"/>
                <w:sz w:val="16"/>
              </w:rPr>
              <w:t xml:space="preserve"> de senha é definido; criptografia em repouso do banco e arquivos é especificada; dados</w:t>
            </w:r>
            <w:r>
              <w:rPr>
                <w:color w:val="000000"/>
                <w:sz w:val="16"/>
              </w:rPr>
              <w:t xml:space="preserve"> de cartão ficam no gateway.</w:t>
            </w:r>
          </w:p>
        </w:tc>
      </w:tr>
      <w:tr w:rsidR="00FF2F5C">
        <w:trPr>
          <w:cantSplit/>
          <w:jc w:val="center"/>
        </w:trPr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Backup definido</w:t>
            </w:r>
          </w:p>
        </w:tc>
        <w:tc>
          <w:tcPr>
            <w:tcW w:w="73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Backup completo diário, WAL contínuo, cópia externa criptografada, retenção proposta de 30 dias e teste mensal de restauração.</w:t>
            </w:r>
          </w:p>
        </w:tc>
      </w:tr>
      <w:tr w:rsidR="00FF2F5C">
        <w:trPr>
          <w:cantSplit/>
          <w:jc w:val="center"/>
        </w:trPr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Retenção definida</w:t>
            </w:r>
          </w:p>
        </w:tc>
        <w:tc>
          <w:tcPr>
            <w:tcW w:w="73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A tabela de retenção propõe prazos por categoria e diferencia pr</w:t>
            </w:r>
            <w:r>
              <w:rPr>
                <w:color w:val="000000"/>
                <w:sz w:val="16"/>
              </w:rPr>
              <w:t>azos legais de propostas internas.</w:t>
            </w:r>
          </w:p>
        </w:tc>
      </w:tr>
      <w:tr w:rsidR="00FF2F5C">
        <w:trPr>
          <w:cantSplit/>
          <w:jc w:val="center"/>
        </w:trPr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Logs definidos</w:t>
            </w:r>
          </w:p>
        </w:tc>
        <w:tc>
          <w:tcPr>
            <w:tcW w:w="73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2F5C" w:rsidRDefault="00A405EF" w:rsidP="00933E13">
            <w:pPr>
              <w:spacing w:after="0" w:line="240" w:lineRule="auto"/>
              <w:ind w:firstLine="0"/>
            </w:pPr>
            <w:r>
              <w:rPr>
                <w:color w:val="000000"/>
                <w:sz w:val="16"/>
              </w:rPr>
              <w:t>Eventos, campos mínimos, dados proibidos nos logs, acesso restrito e prazos de retenção estão descritos.</w:t>
            </w:r>
          </w:p>
        </w:tc>
      </w:tr>
    </w:tbl>
    <w:p w:rsidR="00FF2F5C" w:rsidRDefault="00FF2F5C">
      <w:pPr>
        <w:spacing w:after="20"/>
      </w:pPr>
    </w:p>
    <w:p w:rsidR="00FF2F5C" w:rsidRDefault="004E0E33">
      <w:pPr>
        <w:pStyle w:val="SectionTitle"/>
      </w:pPr>
      <w:r>
        <w:t>10</w:t>
      </w:r>
      <w:r w:rsidR="00A405EF">
        <w:t>. REFERÊNCIAS</w:t>
      </w:r>
    </w:p>
    <w:p w:rsidR="00FF2F5C" w:rsidRDefault="00A405EF">
      <w:r>
        <w:t>Referências externas para os pontos legais:</w:t>
      </w:r>
    </w:p>
    <w:p w:rsidR="00FF2F5C" w:rsidRDefault="00A405EF">
      <w:pPr>
        <w:spacing w:after="60"/>
      </w:pPr>
      <w:r>
        <w:t>L</w:t>
      </w:r>
      <w:r>
        <w:t xml:space="preserve">ei nº 13.709/2018 (LGPD), arts. 15, 16 e 18 - término do tratamento, conservação permitida e direitos do titular: </w:t>
      </w:r>
      <w:hyperlink r:id="rId8">
        <w:r>
          <w:rPr>
            <w:color w:val="0563C1"/>
            <w:u w:val="single"/>
          </w:rPr>
          <w:t>texto oficial</w:t>
        </w:r>
      </w:hyperlink>
    </w:p>
    <w:p w:rsidR="00FF2F5C" w:rsidRDefault="00A405EF">
      <w:pPr>
        <w:spacing w:after="60"/>
      </w:pPr>
      <w:r>
        <w:t xml:space="preserve">Lei nº 12.965/2014 (Marco Civil da Internet), art. 15 - guarda de registros de acesso à aplicação por seis meses, nas condições legais: </w:t>
      </w:r>
      <w:hyperlink r:id="rId9">
        <w:r>
          <w:rPr>
            <w:color w:val="0563C1"/>
            <w:u w:val="single"/>
          </w:rPr>
          <w:t>texto oficial</w:t>
        </w:r>
      </w:hyperlink>
    </w:p>
    <w:p w:rsidR="00FF2F5C" w:rsidRDefault="00A405EF">
      <w:pPr>
        <w:spacing w:after="60"/>
      </w:pPr>
      <w:r>
        <w:t xml:space="preserve">ANPD - Guia Orientativo sobre Segurança da Informação para Agentes de Tratamento de Pequeno Porte: </w:t>
      </w:r>
      <w:hyperlink r:id="rId10">
        <w:r>
          <w:rPr>
            <w:color w:val="0563C1"/>
            <w:u w:val="single"/>
          </w:rPr>
          <w:t>guia oficial</w:t>
        </w:r>
      </w:hyperlink>
    </w:p>
    <w:sectPr w:rsidR="00FF2F5C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134" w:bottom="1134" w:left="1701" w:header="56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5EF" w:rsidRDefault="00A405EF">
      <w:pPr>
        <w:spacing w:line="240" w:lineRule="auto"/>
      </w:pPr>
      <w:r>
        <w:separator/>
      </w:r>
    </w:p>
  </w:endnote>
  <w:endnote w:type="continuationSeparator" w:id="0">
    <w:p w:rsidR="00A405EF" w:rsidRDefault="00A405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ee Serif">
    <w:altName w:val="Corbel"/>
    <w:charset w:val="00"/>
    <w:family w:val="auto"/>
    <w:pitch w:val="variable"/>
    <w:sig w:usb0="A00000AF" w:usb1="40002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950" w:rsidRDefault="00CB1950" w:rsidP="00095FE0">
    <w:pPr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5EF" w:rsidRDefault="00A405EF">
      <w:pPr>
        <w:spacing w:line="240" w:lineRule="auto"/>
      </w:pPr>
      <w:r>
        <w:separator/>
      </w:r>
    </w:p>
  </w:footnote>
  <w:footnote w:type="continuationSeparator" w:id="0">
    <w:p w:rsidR="00A405EF" w:rsidRDefault="00A405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5B0" w:rsidRDefault="00A405EF">
    <w:pPr>
      <w:pStyle w:val="Cabealho"/>
    </w:pPr>
    <w:r>
      <w:rPr>
        <w:noProof/>
      </w:rPr>
      <w:pict w14:anchorId="1D0124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75563" o:spid="_x0000_s2062" type="#_x0000_t75" style="position:absolute;left:0;text-align:left;margin-left:0;margin-top:0;width:453.4pt;height:361.7pt;z-index:-251657216;mso-position-horizontal:center;mso-position-horizontal-relative:margin;mso-position-vertical:center;mso-position-vertical-relative:margin" o:allowincell="f">
          <v:imagedata r:id="rId1" o:title="marca dagua sem fundo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950" w:rsidRPr="004472F1" w:rsidRDefault="00033B52">
    <w:pPr>
      <w:tabs>
        <w:tab w:val="left" w:pos="3402"/>
        <w:tab w:val="left" w:pos="6521"/>
      </w:tabs>
      <w:spacing w:after="120" w:line="240" w:lineRule="auto"/>
      <w:ind w:firstLine="0"/>
      <w:jc w:val="center"/>
      <w:rPr>
        <w:rFonts w:ascii="Bree Serif" w:hAnsi="Bree Serif"/>
      </w:rPr>
    </w:pPr>
    <w:r>
      <w:rPr>
        <w:rFonts w:ascii="Bree Serif" w:hAnsi="Bree Serif"/>
        <w:b/>
        <w:sz w:val="35"/>
      </w:rPr>
      <w:t>FREELAS</w:t>
    </w:r>
  </w:p>
  <w:p w:rsidR="00CB1950" w:rsidRPr="00095FE0" w:rsidRDefault="00A405EF">
    <w:pPr>
      <w:tabs>
        <w:tab w:val="left" w:pos="3402"/>
        <w:tab w:val="left" w:pos="3917"/>
        <w:tab w:val="left" w:pos="6521"/>
        <w:tab w:val="left" w:pos="7488"/>
      </w:tabs>
      <w:spacing w:after="0" w:line="240" w:lineRule="auto"/>
      <w:ind w:firstLine="0"/>
      <w:jc w:val="left"/>
      <w:rPr>
        <w:color w:val="202A38"/>
      </w:rPr>
    </w:pPr>
    <w:r>
      <w:rPr>
        <w:b/>
        <w:sz w:val="17"/>
      </w:rPr>
      <w:t>Autor: Luan Sacoman</w:t>
    </w:r>
    <w:r>
      <w:rPr>
        <w:sz w:val="17"/>
      </w:rPr>
      <w:tab/>
    </w:r>
    <w:r>
      <w:rPr>
        <w:b/>
        <w:sz w:val="17"/>
      </w:rPr>
      <w:t>Data de criação: 29/10/2026</w:t>
    </w:r>
    <w:r>
      <w:rPr>
        <w:sz w:val="17"/>
      </w:rPr>
      <w:tab/>
    </w:r>
    <w:r>
      <w:rPr>
        <w:b/>
        <w:sz w:val="17"/>
      </w:rPr>
      <w:t>Sprint: 4</w:t>
    </w:r>
  </w:p>
  <w:p w:rsidR="004E0E33" w:rsidRDefault="004E0E33" w:rsidP="004E0E33">
    <w:pPr>
      <w:pStyle w:val="Ttulo1"/>
      <w:shd w:val="clear" w:color="auto" w:fill="FFFFFF"/>
      <w:spacing w:before="0" w:after="0" w:line="420" w:lineRule="atLeast"/>
      <w:rPr>
        <w:rFonts w:ascii="Segoe UI" w:hAnsi="Segoe UI" w:cs="Segoe UI"/>
        <w:color w:val="292A2E"/>
        <w:sz w:val="36"/>
        <w:szCs w:val="36"/>
      </w:rPr>
    </w:pPr>
    <w:r>
      <w:rPr>
        <w:b w:val="0"/>
        <w:sz w:val="17"/>
      </w:rPr>
      <w:t>KAN:</w:t>
    </w:r>
    <w:r w:rsidRPr="004E0E33">
      <w:rPr>
        <w:sz w:val="17"/>
      </w:rPr>
      <w:t xml:space="preserve"> KAN-</w:t>
    </w:r>
    <w:r w:rsidRPr="004E0E33">
      <w:rPr>
        <w:sz w:val="18"/>
        <w:szCs w:val="18"/>
      </w:rPr>
      <w:t>139</w:t>
    </w:r>
    <w:r w:rsidRPr="004E0E33">
      <w:rPr>
        <w:b w:val="0"/>
        <w:sz w:val="18"/>
        <w:szCs w:val="18"/>
      </w:rPr>
      <w:t xml:space="preserve"> </w:t>
    </w:r>
    <w:r w:rsidRPr="004E0E33">
      <w:rPr>
        <w:rFonts w:ascii="Segoe UI" w:hAnsi="Segoe UI" w:cs="Segoe UI"/>
        <w:color w:val="292A2E"/>
        <w:sz w:val="18"/>
        <w:szCs w:val="18"/>
      </w:rPr>
      <w:t>Definir o padrão da API REST, a autenticação e a segurança dos dados</w:t>
    </w:r>
  </w:p>
  <w:p w:rsidR="00CB1950" w:rsidRPr="00095FE0" w:rsidRDefault="004E0E33">
    <w:pPr>
      <w:pBdr>
        <w:bottom w:val="single" w:sz="6" w:space="6" w:color="1F2A3C"/>
      </w:pBdr>
      <w:tabs>
        <w:tab w:val="left" w:pos="3402"/>
        <w:tab w:val="left" w:pos="3917"/>
        <w:tab w:val="left" w:pos="6521"/>
        <w:tab w:val="left" w:pos="7488"/>
      </w:tabs>
      <w:spacing w:before="60" w:after="80" w:line="240" w:lineRule="auto"/>
      <w:ind w:firstLine="0"/>
      <w:jc w:val="left"/>
      <w:rPr>
        <w:color w:val="202A38"/>
      </w:rPr>
    </w:pPr>
    <w:r>
      <w:rPr>
        <w:sz w:val="17"/>
      </w:rPr>
      <w:t xml:space="preserve">                           </w:t>
    </w:r>
    <w:r w:rsidR="00033B52">
      <w:rPr>
        <w:b/>
        <w:sz w:val="17"/>
      </w:rPr>
      <w:t>Última atualização: 29/10/2026</w:t>
    </w:r>
    <w:r w:rsidR="00033B52">
      <w:rPr>
        <w:sz w:val="17"/>
      </w:rPr>
      <w:tab/>
    </w:r>
    <w:r>
      <w:rPr>
        <w:sz w:val="17"/>
      </w:rPr>
      <w:t xml:space="preserve">                                          </w:t>
    </w:r>
    <w:r w:rsidR="00033B52">
      <w:rPr>
        <w:b/>
        <w:sz w:val="17"/>
      </w:rPr>
      <w:t>Versão: 1.0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5B0" w:rsidRDefault="00A405EF">
    <w:pPr>
      <w:pStyle w:val="Cabealho"/>
    </w:pPr>
    <w:r>
      <w:rPr>
        <w:noProof/>
      </w:rPr>
      <w:pict w14:anchorId="7BD216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75562" o:spid="_x0000_s2061" type="#_x0000_t75" style="position:absolute;left:0;text-align:left;margin-left:0;margin-top:0;width:453.4pt;height:361.7pt;z-index:-251658240;mso-position-horizontal:center;mso-position-horizontal-relative:margin;mso-position-vertical:center;mso-position-vertical-relative:margin" o:allowincell="f">
          <v:imagedata r:id="rId1" o:title="marca dagua sem fundo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B0A0F"/>
    <w:multiLevelType w:val="hybridMultilevel"/>
    <w:tmpl w:val="A5368CEE"/>
    <w:lvl w:ilvl="0" w:tplc="02B420CC" w:tentative="1">
      <w:start w:val="1"/>
      <w:numFmt w:val="bullet"/>
      <w:lvlText w:val="●"/>
      <w:lvlJc w:val="left"/>
      <w:pPr>
        <w:ind w:left="720" w:hanging="360"/>
      </w:pPr>
    </w:lvl>
    <w:lvl w:ilvl="1" w:tplc="72640ABE" w:tentative="1">
      <w:start w:val="1"/>
      <w:numFmt w:val="bullet"/>
      <w:lvlText w:val="○"/>
      <w:lvlJc w:val="left"/>
      <w:pPr>
        <w:ind w:left="1440" w:hanging="360"/>
      </w:pPr>
    </w:lvl>
    <w:lvl w:ilvl="2" w:tplc="87287B88" w:tentative="1">
      <w:start w:val="1"/>
      <w:numFmt w:val="bullet"/>
      <w:lvlText w:val="■"/>
      <w:lvlJc w:val="left"/>
      <w:pPr>
        <w:ind w:left="2160" w:hanging="360"/>
      </w:pPr>
    </w:lvl>
    <w:lvl w:ilvl="3" w:tplc="9F3EAFD6" w:tentative="1">
      <w:start w:val="1"/>
      <w:numFmt w:val="bullet"/>
      <w:lvlText w:val="●"/>
      <w:lvlJc w:val="left"/>
      <w:pPr>
        <w:ind w:left="2880" w:hanging="360"/>
      </w:pPr>
    </w:lvl>
    <w:lvl w:ilvl="4" w:tplc="23A03136" w:tentative="1">
      <w:start w:val="1"/>
      <w:numFmt w:val="bullet"/>
      <w:lvlText w:val="○"/>
      <w:lvlJc w:val="left"/>
      <w:pPr>
        <w:ind w:left="3600" w:hanging="360"/>
      </w:pPr>
    </w:lvl>
    <w:lvl w:ilvl="5" w:tplc="63AEA3B8" w:tentative="1">
      <w:start w:val="1"/>
      <w:numFmt w:val="bullet"/>
      <w:lvlText w:val="■"/>
      <w:lvlJc w:val="left"/>
      <w:pPr>
        <w:ind w:left="4320" w:hanging="360"/>
      </w:pPr>
    </w:lvl>
    <w:lvl w:ilvl="6" w:tplc="6DC0D464" w:tentative="1">
      <w:start w:val="1"/>
      <w:numFmt w:val="bullet"/>
      <w:lvlText w:val="●"/>
      <w:lvlJc w:val="left"/>
      <w:pPr>
        <w:ind w:left="5040" w:hanging="360"/>
      </w:pPr>
    </w:lvl>
    <w:lvl w:ilvl="7" w:tplc="920C5BA0" w:tentative="1">
      <w:start w:val="1"/>
      <w:numFmt w:val="bullet"/>
      <w:lvlText w:val="●"/>
      <w:lvlJc w:val="left"/>
      <w:pPr>
        <w:ind w:left="5760" w:hanging="360"/>
      </w:pPr>
    </w:lvl>
    <w:lvl w:ilvl="8" w:tplc="75B047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870339"/>
    <w:multiLevelType w:val="multilevel"/>
    <w:tmpl w:val="903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950"/>
    <w:rsid w:val="00033B52"/>
    <w:rsid w:val="00095FE0"/>
    <w:rsid w:val="00223D09"/>
    <w:rsid w:val="003551D0"/>
    <w:rsid w:val="004472F1"/>
    <w:rsid w:val="004865B0"/>
    <w:rsid w:val="004E0E33"/>
    <w:rsid w:val="006A3552"/>
    <w:rsid w:val="006A74EB"/>
    <w:rsid w:val="008173AA"/>
    <w:rsid w:val="00933E13"/>
    <w:rsid w:val="00A405EF"/>
    <w:rsid w:val="00CB1950"/>
    <w:rsid w:val="00F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,"/>
  <w:listSeparator w:val=";"/>
  <w14:docId w14:val="62383A06"/>
  <w15:docId w15:val="{413CBB28-8DA3-4AD5-B9AA-08EF5538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59" w:lineRule="auto"/>
    </w:pPr>
    <w:rPr>
      <w:sz w:val="21"/>
    </w:rPr>
  </w:style>
  <w:style w:type="paragraph" w:styleId="Ttulo1">
    <w:name w:val="heading 1"/>
    <w:basedOn w:val="Normal"/>
    <w:next w:val="Normal"/>
    <w:uiPriority w:val="9"/>
    <w:qFormat/>
    <w:pPr>
      <w:spacing w:before="240" w:after="240"/>
      <w:ind w:firstLine="0"/>
      <w:jc w:val="left"/>
      <w:outlineLvl w:val="0"/>
    </w:pPr>
    <w:rPr>
      <w:b/>
      <w:bCs/>
      <w:cap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551D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51D0"/>
  </w:style>
  <w:style w:type="paragraph" w:styleId="Rodap">
    <w:name w:val="footer"/>
    <w:basedOn w:val="Normal"/>
    <w:link w:val="RodapChar"/>
    <w:uiPriority w:val="99"/>
    <w:unhideWhenUsed/>
    <w:rsid w:val="003551D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51D0"/>
  </w:style>
  <w:style w:type="paragraph" w:styleId="NormalWeb">
    <w:name w:val="Normal (Web)"/>
    <w:basedOn w:val="Normal"/>
    <w:uiPriority w:val="99"/>
    <w:semiHidden/>
    <w:unhideWhenUsed/>
    <w:rsid w:val="004865B0"/>
    <w:rPr>
      <w:rFonts w:ascii="Times New Roman" w:hAnsi="Times New Roman" w:cs="Times New Roman"/>
    </w:rPr>
  </w:style>
  <w:style w:type="paragraph" w:customStyle="1" w:styleId="SectionTitle">
    <w:name w:val="SectionTitle"/>
    <w:pPr>
      <w:keepNext/>
      <w:spacing w:before="240" w:after="100"/>
    </w:pPr>
    <w:rPr>
      <w:b/>
      <w:color w:val="000000"/>
    </w:rPr>
  </w:style>
  <w:style w:type="paragraph" w:customStyle="1" w:styleId="Subttulo1">
    <w:name w:val="Subtítulo1"/>
    <w:pPr>
      <w:keepNext/>
      <w:spacing w:before="140" w:after="60"/>
    </w:pPr>
    <w:rPr>
      <w:b/>
      <w:color w:val="37415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5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5-2018/2018/lei/l13709.ht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ov.br/anpd/pt-br/centrais-de-conteudo/materiais-educativos-e-publicacoes/guia-orientativo-sobre-seguranca-da-informacao-para-agentes-de-tratamento-de-pequeno-por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lanalto.gov.br/ccivil_03/_ato2011-2014/2014/lei/l12965.ht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5360E-EA9D-4071-A464-76ED1BCFD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3057</Words>
  <Characters>16509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Padrão da API REST e Segurança do Freelas</vt:lpstr>
    </vt:vector>
  </TitlesOfParts>
  <Company/>
  <LinksUpToDate>false</LinksUpToDate>
  <CharactersWithSpaces>19527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Padrão da API REST e Segurança do Freelas</dc:title>
  <dc:subject>Convenções da API, autenticação, autorização, proteção e retenção de dados</dc:subject>
  <dc:creator>Luan Sacoman</dc:creator>
  <cp:keywords>Freelas, API REST, segurança, LGPD, autenticação</cp:keywords>
  <cp:lastModifiedBy>Arnaldo Pereira</cp:lastModifiedBy>
  <cp:revision>5</cp:revision>
  <cp:lastPrinted>2026-10-26T19:43:00Z</cp:lastPrinted>
  <dcterms:created xsi:type="dcterms:W3CDTF">2026-10-26T19:55:00Z</dcterms:created>
  <dcterms:modified xsi:type="dcterms:W3CDTF">2026-10-30T02:23:00Z</dcterms:modified>
</cp:coreProperties>
</file>