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DA3CF" w14:textId="2C128B25" w:rsidR="001F517A" w:rsidRDefault="00B005C6" w:rsidP="00B005C6">
      <w:pPr>
        <w:jc w:val="center"/>
      </w:pPr>
      <w:r w:rsidRPr="0098286F">
        <w:rPr>
          <w:sz w:val="52"/>
          <w:szCs w:val="52"/>
        </w:rPr>
        <w:t>MeuFreela</w:t>
      </w:r>
      <w:r w:rsidRPr="0098286F">
        <w:rPr>
          <w:sz w:val="52"/>
          <w:szCs w:val="52"/>
        </w:rPr>
        <w:br/>
      </w:r>
      <w:r w:rsidRPr="0098286F">
        <w:rPr>
          <w:sz w:val="52"/>
          <w:szCs w:val="52"/>
        </w:rPr>
        <w:br/>
        <w:t>Sprint 08/10/2026</w:t>
      </w:r>
      <w:r w:rsidRPr="0098286F">
        <w:rPr>
          <w:sz w:val="52"/>
          <w:szCs w:val="52"/>
        </w:rPr>
        <w:br/>
      </w:r>
    </w:p>
    <w:p w14:paraId="2A9097D8" w14:textId="77777777" w:rsidR="00B005C6" w:rsidRDefault="00B005C6" w:rsidP="00B005C6">
      <w:pPr>
        <w:jc w:val="center"/>
      </w:pPr>
    </w:p>
    <w:p w14:paraId="0017A615" w14:textId="629AA0F3" w:rsidR="00B005C6" w:rsidRDefault="00B005C6" w:rsidP="00B005C6">
      <w:pPr>
        <w:jc w:val="center"/>
      </w:pPr>
      <w:r>
        <w:rPr>
          <w:sz w:val="32"/>
          <w:szCs w:val="32"/>
        </w:rPr>
        <w:t>Verificação de consistência entre os diagramas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</w:p>
    <w:p w14:paraId="069623BA" w14:textId="2C0F8BCF" w:rsidR="00B005C6" w:rsidRDefault="00B005C6" w:rsidP="00B005C6">
      <w:pPr>
        <w:jc w:val="center"/>
      </w:pPr>
      <w:r w:rsidRPr="00B005C6">
        <w:t>Documento Justificativo: Coesão e Rastreabilidade Arquitetural do Sistema MeuFreela</w:t>
      </w:r>
    </w:p>
    <w:p w14:paraId="3B1462B3" w14:textId="77777777" w:rsidR="00B005C6" w:rsidRDefault="00B005C6" w:rsidP="00B005C6">
      <w:pPr>
        <w:jc w:val="center"/>
      </w:pPr>
    </w:p>
    <w:p w14:paraId="51BF4A15" w14:textId="490B16EB" w:rsidR="00B005C6" w:rsidRDefault="00B005C6" w:rsidP="00B005C6">
      <w:r>
        <w:t xml:space="preserve">Documento de atestação de integridade e coesão da modelagem arquitetural do projeto, </w:t>
      </w:r>
      <w:r w:rsidRPr="00B005C6">
        <w:t>demonstrando o alinhamento técnico exato entre as regras de negócio, a modelagem lógica (Diagrama de Classes UML), a modelagem física (DER) e o mapeamento comportamental (Fluxogramas Operacionais).</w:t>
      </w:r>
    </w:p>
    <w:p w14:paraId="3078E11F" w14:textId="77777777" w:rsidR="00B005C6" w:rsidRDefault="00B005C6" w:rsidP="00B005C6"/>
    <w:p w14:paraId="26EF8A5F" w14:textId="77777777" w:rsidR="00B005C6" w:rsidRPr="00B005C6" w:rsidRDefault="00B005C6" w:rsidP="00B005C6">
      <w:r w:rsidRPr="00B005C6">
        <w:rPr>
          <w:b/>
          <w:bCs/>
        </w:rPr>
        <w:t>1. Sincronia Estrutural e Semântica (UML vs. DER)</w:t>
      </w:r>
      <w:r w:rsidRPr="00B005C6">
        <w:t xml:space="preserve"> A arquitetura apresenta rastreabilidade total entre o escopo da aplicação e o banco de dados por meio da "Linguagem Ubíqua". </w:t>
      </w:r>
    </w:p>
    <w:p w14:paraId="4E9C2D30" w14:textId="77777777" w:rsidR="00B005C6" w:rsidRPr="00B005C6" w:rsidRDefault="00B005C6" w:rsidP="00B005C6">
      <w:pPr>
        <w:numPr>
          <w:ilvl w:val="0"/>
          <w:numId w:val="1"/>
        </w:numPr>
      </w:pPr>
      <w:r w:rsidRPr="00B005C6">
        <w:t xml:space="preserve">O projeto consolida 9 entidades centrais que transitam perfeitamente entre os paradigmas: cada classe lógica do Diagrama UML gera uma tabela correspondente no DER. </w:t>
      </w:r>
    </w:p>
    <w:p w14:paraId="587E59A3" w14:textId="77777777" w:rsidR="00B005C6" w:rsidRPr="00B005C6" w:rsidRDefault="00B005C6" w:rsidP="00B005C6">
      <w:pPr>
        <w:numPr>
          <w:ilvl w:val="0"/>
          <w:numId w:val="1"/>
        </w:numPr>
      </w:pPr>
      <w:r w:rsidRPr="00B005C6">
        <w:t xml:space="preserve">O Dicionário de Nomenclatura foi respeitado rigorosamente: entidades lógicas estão no singular em </w:t>
      </w:r>
      <w:r w:rsidRPr="00B005C6">
        <w:rPr>
          <w:i/>
          <w:iCs/>
        </w:rPr>
        <w:t>PascalCase</w:t>
      </w:r>
      <w:r w:rsidRPr="00B005C6">
        <w:t xml:space="preserve"> (ex: CarteiraDigital, Transacao), enquanto suas correspondentes físicas estão no plural em </w:t>
      </w:r>
      <w:r w:rsidRPr="00B005C6">
        <w:rPr>
          <w:i/>
          <w:iCs/>
        </w:rPr>
        <w:t>snake_case</w:t>
      </w:r>
      <w:r w:rsidRPr="00B005C6">
        <w:t xml:space="preserve"> (ex: carteiras_digitais, transacoes). </w:t>
      </w:r>
    </w:p>
    <w:p w14:paraId="2781789F" w14:textId="79B1E6E9" w:rsidR="00B005C6" w:rsidRDefault="00B005C6" w:rsidP="00B005C6">
      <w:pPr>
        <w:numPr>
          <w:ilvl w:val="0"/>
          <w:numId w:val="1"/>
        </w:numPr>
      </w:pPr>
      <w:r w:rsidRPr="00B005C6">
        <w:t xml:space="preserve">Os atributos da UML (ex: saldoDisponivel: Decimal) foram traduzidos para tipagens nativas de banco de dados no DER (ex: DECIMAL saldo_disponivel), com a devida alocação de chaves primárias (PK) e estrangeiras (FK). </w:t>
      </w:r>
    </w:p>
    <w:p w14:paraId="52B6AFB9" w14:textId="77777777" w:rsidR="00B005C6" w:rsidRPr="00B005C6" w:rsidRDefault="00B005C6" w:rsidP="00B005C6"/>
    <w:p w14:paraId="2A03F726" w14:textId="77777777" w:rsidR="00B005C6" w:rsidRPr="00B005C6" w:rsidRDefault="00B005C6" w:rsidP="00B005C6">
      <w:r w:rsidRPr="00B005C6">
        <w:rPr>
          <w:b/>
          <w:bCs/>
        </w:rPr>
        <w:t>2. Integridade das Regras de Negócio e Multiplicidade</w:t>
      </w:r>
      <w:r w:rsidRPr="00B005C6">
        <w:t xml:space="preserve"> As regras e restrições estabelecidas na modelagem são coesas em todas as suas representações visuais. </w:t>
      </w:r>
    </w:p>
    <w:p w14:paraId="752D2C32" w14:textId="77777777" w:rsidR="00B005C6" w:rsidRPr="00B005C6" w:rsidRDefault="00B005C6" w:rsidP="00B005C6">
      <w:pPr>
        <w:numPr>
          <w:ilvl w:val="0"/>
          <w:numId w:val="2"/>
        </w:numPr>
      </w:pPr>
      <w:r w:rsidRPr="00B005C6">
        <w:t xml:space="preserve">A obrigatoriedade de um vínculo financeiro único foi mapeada na UML com uma relação de cardinalidade "1" para "1" entre Freelancer e CarteiraDigital, refletida com exatidão no DER através da notação </w:t>
      </w:r>
      <w:r w:rsidRPr="00B005C6">
        <w:rPr>
          <w:i/>
          <w:iCs/>
        </w:rPr>
        <w:t>Crow's Foot</w:t>
      </w:r>
      <w:r w:rsidRPr="00B005C6">
        <w:t xml:space="preserve"> de dois traços verticais (||--||). </w:t>
      </w:r>
    </w:p>
    <w:p w14:paraId="61055E44" w14:textId="77777777" w:rsidR="00B005C6" w:rsidRDefault="00B005C6" w:rsidP="00B005C6">
      <w:pPr>
        <w:numPr>
          <w:ilvl w:val="0"/>
          <w:numId w:val="2"/>
        </w:numPr>
      </w:pPr>
      <w:r w:rsidRPr="00B005C6">
        <w:lastRenderedPageBreak/>
        <w:t xml:space="preserve">Cenários de cardinalidade opcional, como a ocorrência de uma Substituicao gerada a partir de um Turno (0..1 na UML), são validados no DER pela extremidade de opcionalidade singular (||--o|). </w:t>
      </w:r>
    </w:p>
    <w:p w14:paraId="602F2CCE" w14:textId="77777777" w:rsidR="00B005C6" w:rsidRPr="00B005C6" w:rsidRDefault="00B005C6" w:rsidP="00B005C6"/>
    <w:p w14:paraId="25FE4A52" w14:textId="77777777" w:rsidR="00B005C6" w:rsidRPr="00B005C6" w:rsidRDefault="00B005C6" w:rsidP="00B005C6">
      <w:r w:rsidRPr="00B005C6">
        <w:rPr>
          <w:b/>
          <w:bCs/>
        </w:rPr>
        <w:t>3. Rastreabilidade Comportamental (Fluxogramas)</w:t>
      </w:r>
      <w:r w:rsidRPr="00B005C6">
        <w:t xml:space="preserve"> Os fluxos de processo (Top-Down) não são artefatos isolados; eles consomem ativamente as entidades e enumeradores estipulados na arquitetura estrutural. </w:t>
      </w:r>
    </w:p>
    <w:p w14:paraId="2775E9AF" w14:textId="77777777" w:rsidR="00B005C6" w:rsidRPr="00B005C6" w:rsidRDefault="00B005C6" w:rsidP="00B005C6">
      <w:pPr>
        <w:numPr>
          <w:ilvl w:val="0"/>
          <w:numId w:val="3"/>
        </w:numPr>
      </w:pPr>
      <w:r w:rsidRPr="00B005C6">
        <w:rPr>
          <w:b/>
          <w:bCs/>
        </w:rPr>
        <w:t>Fluxo A (Custódia e Split):</w:t>
      </w:r>
      <w:r w:rsidRPr="00B005C6">
        <w:t xml:space="preserve"> A esteira de pagamento reflete as transições de estado estabelecidas no enumerador unificado StatusPagamento (presente na UML e no DER), utilizando ativamente os gatilhos lógicos PAGO_CUSTODIA e EM_DISPUTA em seus nós de decisão. </w:t>
      </w:r>
    </w:p>
    <w:p w14:paraId="71929365" w14:textId="77777777" w:rsidR="00B005C6" w:rsidRPr="00B005C6" w:rsidRDefault="00B005C6" w:rsidP="00B005C6">
      <w:pPr>
        <w:numPr>
          <w:ilvl w:val="0"/>
          <w:numId w:val="3"/>
        </w:numPr>
      </w:pPr>
      <w:r w:rsidRPr="00B005C6">
        <w:rPr>
          <w:b/>
          <w:bCs/>
        </w:rPr>
        <w:t>Fluxo B (Vaga Relâmpago):</w:t>
      </w:r>
      <w:r w:rsidRPr="00B005C6">
        <w:t xml:space="preserve"> O algoritmo de reposição por proximidade é diretamente alimentado pelo atributo raioBuscaKm (UML) / raio_busca_km (DER), pertencente à entidade Vaga, provando que o comportamento lógico modelado depende diretamente da estrutura física do banco de dados desenvolvida. </w:t>
      </w:r>
    </w:p>
    <w:p w14:paraId="350F25D6" w14:textId="77777777" w:rsidR="00B005C6" w:rsidRDefault="00B005C6" w:rsidP="00B005C6"/>
    <w:p w14:paraId="6CEFEFF3" w14:textId="1C4ED523" w:rsidR="00B005C6" w:rsidRPr="00B005C6" w:rsidRDefault="00B005C6" w:rsidP="00B005C6">
      <w:r>
        <w:t>Em conclusão, a</w:t>
      </w:r>
      <w:r w:rsidRPr="00B005C6">
        <w:t xml:space="preserve"> documentação cruzada comprova que não há divergências ou variáveis "órfãs" no ecossistema de modelagem. Os diagramas confirmam que a arquitetura do "MeuFreela" é tecnicamente viável, isenta de ambiguidades e totalmente aderente às exigências de governança corporativa estipuladas para a fase de </w:t>
      </w:r>
      <w:r w:rsidRPr="00B005C6">
        <w:rPr>
          <w:i/>
          <w:iCs/>
        </w:rPr>
        <w:t>Setup</w:t>
      </w:r>
      <w:r w:rsidRPr="00B005C6">
        <w:t>.</w:t>
      </w:r>
    </w:p>
    <w:p w14:paraId="127CF4A8" w14:textId="4BD52940" w:rsidR="00B005C6" w:rsidRDefault="00B005C6" w:rsidP="00B005C6"/>
    <w:sectPr w:rsidR="00B005C6" w:rsidSect="00D50E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A092C"/>
    <w:multiLevelType w:val="multilevel"/>
    <w:tmpl w:val="2176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138A9"/>
    <w:multiLevelType w:val="multilevel"/>
    <w:tmpl w:val="F1C0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EC50D9"/>
    <w:multiLevelType w:val="multilevel"/>
    <w:tmpl w:val="CB58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77537">
    <w:abstractNumId w:val="0"/>
  </w:num>
  <w:num w:numId="2" w16cid:durableId="1359158051">
    <w:abstractNumId w:val="1"/>
  </w:num>
  <w:num w:numId="3" w16cid:durableId="666372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5C6"/>
    <w:rsid w:val="00072C1E"/>
    <w:rsid w:val="001F517A"/>
    <w:rsid w:val="00896673"/>
    <w:rsid w:val="00B005C6"/>
    <w:rsid w:val="00D50E9F"/>
    <w:rsid w:val="00D92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92E72"/>
  <w15:chartTrackingRefBased/>
  <w15:docId w15:val="{8C8E8731-81C5-40FE-B3B9-96F859368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0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0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05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0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05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0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0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0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0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0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0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05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05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05C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05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05C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05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05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0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0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0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0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0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05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05C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05C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0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05C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05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05C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457</Words>
  <Characters>2472</Characters>
  <Application>Microsoft Office Word</Application>
  <DocSecurity>0</DocSecurity>
  <Lines>20</Lines>
  <Paragraphs>5</Paragraphs>
  <ScaleCrop>false</ScaleCrop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Hauari</dc:creator>
  <cp:keywords/>
  <dc:description/>
  <cp:lastModifiedBy>Gabriel Hauari</cp:lastModifiedBy>
  <cp:revision>1</cp:revision>
  <dcterms:created xsi:type="dcterms:W3CDTF">2026-10-08T00:27:00Z</dcterms:created>
  <dcterms:modified xsi:type="dcterms:W3CDTF">2026-10-08T00:31:00Z</dcterms:modified>
</cp:coreProperties>
</file>