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Mapeamento de Riscos — Freelas (MeuFreela)</w:t>
      </w:r>
    </w:p>
    <w:tbl>
      <w:tblPr>
        <w:tblW w:w="850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50"/>
        <w:gridCol w:w="1246"/>
        <w:gridCol w:w="2042"/>
        <w:gridCol w:w="3117"/>
        <w:gridCol w:w="1248"/>
      </w:tblGrid>
      <w:tr>
        <w:trPr>
          <w:tblHeader w:val="true"/>
        </w:trPr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Versão</w:t>
            </w:r>
          </w:p>
        </w:tc>
        <w:tc>
          <w:tcPr>
            <w:tcW w:w="1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Data</w:t>
            </w:r>
          </w:p>
        </w:tc>
        <w:tc>
          <w:tcPr>
            <w:tcW w:w="20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Autor(es)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Descrição das alterações</w:t>
            </w:r>
          </w:p>
        </w:tc>
        <w:tc>
          <w:tcPr>
            <w:tcW w:w="12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Status</w:t>
            </w:r>
          </w:p>
        </w:tc>
      </w:tr>
      <w:tr>
        <w:trPr/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1.0</w:t>
            </w:r>
          </w:p>
        </w:tc>
        <w:tc>
          <w:tcPr>
            <w:tcW w:w="1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23/10/2026</w:t>
            </w:r>
          </w:p>
        </w:tc>
        <w:tc>
          <w:tcPr>
            <w:tcW w:w="20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Erica Cristiana Carvalho Silva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Mapeamento inicial baseado na Matriz GUT</w:t>
            </w:r>
          </w:p>
        </w:tc>
        <w:tc>
          <w:tcPr>
            <w:tcW w:w="12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Homologado</w:t>
            </w:r>
          </w:p>
        </w:tc>
      </w:tr>
      <w:tr>
        <w:trPr/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1.1</w:t>
            </w:r>
          </w:p>
        </w:tc>
        <w:tc>
          <w:tcPr>
            <w:tcW w:w="1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28/10/2026</w:t>
            </w:r>
          </w:p>
        </w:tc>
        <w:tc>
          <w:tcPr>
            <w:tcW w:w="20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Erica Cristiana Carvalho Silva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Inclusão dos riscos da arquitetura (Sprint 4) e ajuste de impactos</w:t>
            </w:r>
          </w:p>
        </w:tc>
        <w:tc>
          <w:tcPr>
            <w:tcW w:w="12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Rascunho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i/>
        </w:rPr>
        <w:t>Objetivo: levantar as ameaças técnicas, de equipe e de operação do Freelas e definir, para cada uma, o impacto e o plano de mitigação, para evitar punições por não conformidade e falhas nas entregas ao longo do ciclo letivo.</w:t>
      </w:r>
    </w:p>
    <w:p>
      <w:pPr>
        <w:pStyle w:val="Heading1"/>
        <w:rPr/>
      </w:pPr>
      <w:r>
        <w:rPr/>
        <w:t>1. Escala de impacto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Alto: </w:t>
      </w:r>
      <w:r>
        <w:rPr/>
        <w:t>compromete a entrega, o dinheiro dos usuários ou a segurança dos dados.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Médio: </w:t>
      </w:r>
      <w:r>
        <w:rPr/>
        <w:t>atrasa ou degrada parte do sistema, com solução conhecida.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Baixo: </w:t>
      </w:r>
      <w:r>
        <w:rPr/>
        <w:t>incômodo ou custo pequeno, sem afetar a entrega.</w:t>
      </w:r>
    </w:p>
    <w:p>
      <w:pPr>
        <w:pStyle w:val="Heading1"/>
        <w:rPr/>
      </w:pPr>
      <w:r>
        <w:rPr/>
        <w:t>2. Riscos identificados</w:t>
      </w:r>
    </w:p>
    <w:tbl>
      <w:tblPr>
        <w:tblW w:w="87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9"/>
        <w:gridCol w:w="2779"/>
        <w:gridCol w:w="1077"/>
        <w:gridCol w:w="850"/>
        <w:gridCol w:w="3572"/>
      </w:tblGrid>
      <w:tr>
        <w:trPr>
          <w:tblHeader w:val="true"/>
        </w:trPr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6"/>
              </w:rPr>
              <w:t>Nº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6"/>
              </w:rPr>
              <w:t>Risco identificado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6"/>
              </w:rPr>
              <w:t>Categoria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6"/>
              </w:rPr>
              <w:t>Impacto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6"/>
              </w:rPr>
              <w:t>Estratégia de mitigação / plano de ação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Gargalo no fluxo de commits travando a esteira de CI/CD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Equipe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Micro-commits diários organizados por feature-branches; commit com legenda do que foi enviado; link do commit na tarefa do Jira assim que comitar; acompanhar os cards ativamente.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Inatividade de membros ou entregas deixadas para a última hora, estourando prazos da sprint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Equipe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Médio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Pareamento em tarefas críticas (por exemplo, Lucas e Carlos nos endpoints); avisar o grupo antes do prazo se travar; reunião semanal de sexta às 19h; prazo intermediário nas tarefas que dependem de outras.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Documentos e diagramas desatualizados no GitHub (modelo de 9 entidades, nota de 1 a 5, pagamento depois do serviço) levando alguém a trabalhar em cima de versão antiga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Equipe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Manter só a versão vigente de cada documento; mover versões antigas para uma pasta de arquivo; tabela de versão em todos os documentos; README com a lista dos documentos vigentes; conferir na reunião de sexta.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Decisões de arquitetura abertas (banco, gateway, provedor de nuvem, websocket do chat) travando tarefas dependentes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Equipe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Médio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Registrar cada decisão em um único documento e propagar; decidir a stack na reunião de sexta, porque seis tarefas dependem dela.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Curva de aprendizado da stack (Java e Spring Boot, React Native com Expo, Docker, Flyway) para uma equipe de seis em prazo curto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Equipe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Médio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Escolher pela capacidade atual da equipe; começar por um esqueleto do backend com o pipeline rodando; pareamento e guia curto de uso das ferramentas.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Conflito na regra de pagamento (Pix por QR Code, que depende da empresa, contra a captura automática no aceite do freelancer) gerando retrabalho em endpoints, casos de uso e diagramas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Negócio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Decidir a regra na reunião de sexta (captura automática só para cartão, ou Pix pago antes do aceite); registrar na regra de negócio consolidada e atualizar os endpoints (KAN-143 e 144), o caso de uso 17 e as sequências de uma vez.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7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Fraudes ou vazamento de dados sensíveis na camada de pagamentos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Segurança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Dados de cartão só no gateway certificado (PCI-DSS), com o Freelas guardando apenas o token (RNF17); dados de recebimento criptografados em repouso; chave de idempotência em toda cobrança.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8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Rejeição em massa de saques Pix por chave de terceiros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Financeiro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Médio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Validação síncrona do CPF da chave contra o CPF do cadastro (RN-CART-14); duplo fator e bloqueio de saque por 24 horas na troca de chave (RN-CART-16).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9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Rajada de notificações ao publicar uma vaga (88,5% das escritas) sobrecarregando o banco e estourando os 5 segundos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Técnico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Fila de tarefas no PostgreSQL (outbox), escrita em lote, push em lotes de 500, índice parcial de não lidas e partição mensal; monitorar a idade da tarefa mais antiga e subir workers acima de 5 s.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10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Banco principal como ponto único de falha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Técnico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Réplica de leitura assíncrona promovida em minutos, backup diário com arquivamento contínuo do log, teste periódico de restauração (RNF23) e PgBouncer para controlar conexões.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11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Estimativas de carga baseadas em premissas (6 mil freelancers e 1 milhão de escritas por dia), sem medição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Técnico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Médio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Teste de carga (pgbench e ferramenta HTTP) antes de produção; sinais de escala definidos (CPU acima de 70%, fila acima de 5 s, atraso da réplica acima de 1 s).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12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Dependência do Serviço de Mapas para toda distância (o banco não guarda coordenadas), com custo por chamada e prazo de 2 segundos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Técnico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Médio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Cache por CEP por 30 dias no Redis, paginação da lista e resposta rápida de erro; o app continua funcionando sem o cache.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13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Divergências de geolocalização por falha de GPS do usuário no check-in e check-out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Técnico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Médio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Usar a margem de erro retornada pelo aparelho (RNF20) para conceder tolerância de raio antes de recusar; validação manual pela gerência como alternativa.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14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Dados pessoais sem prazo de retenção e sem criptografia definidos, e dados sensíveis (documento e biometria) sem consentimento específico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Legal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Definir os prazos de retenção por finalidade; criptografia em repouso dos dados pessoais (RNF21); tabelas de consentimento e verificação; exclusão sob solicitação (RNF22); consentimento destacado para dado sensível (LGPD, art. 11).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15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Liquidez de rede: sem base inicial de freelancers e empresas o aplicativo perde valor (item da Matriz GUT)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Produto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Alto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Começar por Maringá e região, no setor de alimentação, com MVP enxuto; planos pagos que não travam funções essenciais.</w:t>
            </w:r>
          </w:p>
        </w:tc>
      </w:tr>
      <w:tr>
        <w:trPr/>
        <w:tc>
          <w:tcPr>
            <w:tcW w:w="5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16</w:t>
            </w:r>
          </w:p>
        </w:tc>
        <w:tc>
          <w:tcPr>
            <w:tcW w:w="277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Avaliações falsas ou de má-fé manipulando a reputação (item da Matriz GUT)</w:t>
            </w:r>
          </w:p>
        </w:tc>
        <w:tc>
          <w:tcPr>
            <w:tcW w:w="107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Produto</w:t>
            </w:r>
          </w:p>
        </w:tc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Médio</w:t>
            </w:r>
          </w:p>
        </w:tc>
        <w:tc>
          <w:tcPr>
            <w:tcW w:w="35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Avaliação cega com prazo de 72 horas, contestação com evidências em até 5 dias úteis e moderação pelo administrador.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3. Mudanças em relação à versão 1.0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O risco do Serviço de Mapas passou de Baixo para Médio, porque a decisão de não guardar coordenadas no banco faz toda busca por distância depender desse serviço.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Foram incluídos os riscos de 3 a 6 e de 9 a 11, que vêm da organização do repositório, das decisões ainda abertas e da arquitetura definida na Sprint 4, e os riscos 14 a 16, da LGPD e da Matriz GUT.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Os riscos 1, 2, 7, 8 e 13 vêm da versão 1.0, com a redação ajustada.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701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ree Serif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8180" cy="4593590"/>
              <wp:effectExtent l="0" t="0" r="0" b="0"/>
              <wp:wrapNone/>
              <wp:docPr id="1" name="WordPictureWatermark70707556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707075563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758200" cy="459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07075563" o:spid="shape_0" stroked="f" o:allowincell="f" style="position:absolute;margin-left:0.05pt;margin-top:0pt;width:453.35pt;height:361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 w:before="0" w:after="120"/>
      <w:ind w:hanging="0"/>
      <w:jc w:val="center"/>
      <w:rPr>
        <w:rFonts w:ascii="Bree Serif" w:hAnsi="Bree Serif"/>
      </w:rPr>
    </w:pPr>
    <w: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8180" cy="4593590"/>
              <wp:effectExtent l="0" t="0" r="0" b="0"/>
              <wp:wrapNone/>
              <wp:docPr id="3" name="WordPictureWatermark70707556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WordPictureWatermark707075564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758200" cy="459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707075564" o:spid="shape_0" stroked="f" o:allowincell="f" style="position:absolute;margin-left:0.05pt;margin-top:169.2pt;width:453.35pt;height:361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 xml:space="preserve">Autor: </w:t>
    </w:r>
    <w:r>
      <w:rPr>
        <w:color w:val="202A38"/>
        <w:sz w:val="18"/>
        <w:szCs w:val="18"/>
      </w:rPr>
      <w:t>Erica C. Silva</w:t>
      <w:tab/>
    </w:r>
    <w:r>
      <w:rPr>
        <w:b/>
        <w:bCs/>
        <w:color w:val="202A38"/>
        <w:sz w:val="18"/>
        <w:szCs w:val="18"/>
      </w:rPr>
      <w:t xml:space="preserve">Data de criação: </w:t>
    </w:r>
    <w:r>
      <w:rPr>
        <w:color w:val="202A38"/>
        <w:sz w:val="18"/>
        <w:szCs w:val="18"/>
      </w:rPr>
      <w:t>23/10/26</w:t>
      <w:tab/>
    </w:r>
    <w:r>
      <w:rPr>
        <w:b/>
        <w:bCs/>
        <w:color w:val="202A38"/>
        <w:sz w:val="18"/>
        <w:szCs w:val="18"/>
      </w:rPr>
      <w:t xml:space="preserve">Sprint: </w:t>
    </w:r>
    <w:r>
      <w:rPr>
        <w:color w:val="202A38"/>
        <w:sz w:val="18"/>
        <w:szCs w:val="18"/>
      </w:rPr>
      <w:t>4</w:t>
    </w:r>
  </w:p>
  <w:p>
    <w:pPr>
      <w:pStyle w:val="Normal"/>
      <w:pBdr>
        <w:bottom w:val="single" w:sz="6" w:space="6" w:color="1F2A3C"/>
      </w:pBdr>
      <w:tabs>
        <w:tab w:val="clear" w:pos="708"/>
        <w:tab w:val="left" w:pos="3402" w:leader="none"/>
        <w:tab w:val="left" w:pos="6521" w:leader="none"/>
      </w:tabs>
      <w:spacing w:lineRule="auto" w:line="240" w:before="60" w:after="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:163</w:t>
      <w:tab/>
    </w:r>
    <w:r>
      <w:rPr>
        <w:b/>
        <w:bCs/>
        <w:color w:val="202A38"/>
        <w:sz w:val="18"/>
        <w:szCs w:val="18"/>
      </w:rPr>
      <w:t xml:space="preserve">Última atualização: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>Versão:</w:t>
    </w:r>
    <w:r>
      <w:rPr>
        <w:color w:val="202A38"/>
        <w:sz w:val="18"/>
        <w:szCs w:val="18"/>
      </w:rPr>
      <w:t>1.1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 w:before="0" w:after="120"/>
      <w:ind w:hanging="0"/>
      <w:jc w:val="center"/>
      <w:rPr>
        <w:rFonts w:ascii="Bree Serif" w:hAnsi="Bree Serif"/>
      </w:rPr>
    </w:pPr>
    <w: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8180" cy="4593590"/>
              <wp:effectExtent l="0" t="0" r="0" b="0"/>
              <wp:wrapNone/>
              <wp:docPr id="5" name="WordPictureWatermark70707556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WordPictureWatermark707075564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758200" cy="459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707075564" o:spid="shape_0" stroked="f" o:allowincell="f" style="position:absolute;margin-left:0.05pt;margin-top:169.2pt;width:453.35pt;height:361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 xml:space="preserve">Autor: </w:t>
    </w:r>
    <w:r>
      <w:rPr>
        <w:color w:val="202A38"/>
        <w:sz w:val="18"/>
        <w:szCs w:val="18"/>
      </w:rPr>
      <w:t>Erica C. Silva</w:t>
      <w:tab/>
    </w:r>
    <w:r>
      <w:rPr>
        <w:b/>
        <w:bCs/>
        <w:color w:val="202A38"/>
        <w:sz w:val="18"/>
        <w:szCs w:val="18"/>
      </w:rPr>
      <w:t xml:space="preserve">Data de criação: </w:t>
    </w:r>
    <w:r>
      <w:rPr>
        <w:color w:val="202A38"/>
        <w:sz w:val="18"/>
        <w:szCs w:val="18"/>
      </w:rPr>
      <w:t>23/10/26</w:t>
      <w:tab/>
    </w:r>
    <w:r>
      <w:rPr>
        <w:b/>
        <w:bCs/>
        <w:color w:val="202A38"/>
        <w:sz w:val="18"/>
        <w:szCs w:val="18"/>
      </w:rPr>
      <w:t xml:space="preserve">Sprint: </w:t>
    </w:r>
    <w:r>
      <w:rPr>
        <w:color w:val="202A38"/>
        <w:sz w:val="18"/>
        <w:szCs w:val="18"/>
      </w:rPr>
      <w:t>4</w:t>
    </w:r>
  </w:p>
  <w:p>
    <w:pPr>
      <w:pStyle w:val="Normal"/>
      <w:pBdr>
        <w:bottom w:val="single" w:sz="6" w:space="6" w:color="1F2A3C"/>
      </w:pBdr>
      <w:tabs>
        <w:tab w:val="clear" w:pos="708"/>
        <w:tab w:val="left" w:pos="3402" w:leader="none"/>
        <w:tab w:val="left" w:pos="6521" w:leader="none"/>
      </w:tabs>
      <w:spacing w:lineRule="auto" w:line="240" w:before="60" w:after="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:163</w:t>
      <w:tab/>
    </w:r>
    <w:r>
      <w:rPr>
        <w:b/>
        <w:bCs/>
        <w:color w:val="202A38"/>
        <w:sz w:val="18"/>
        <w:szCs w:val="18"/>
      </w:rPr>
      <w:t xml:space="preserve">Última atualização: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>Versão:</w:t>
    </w:r>
    <w:r>
      <w:rPr>
        <w:color w:val="202A38"/>
        <w:sz w:val="18"/>
        <w:szCs w:val="18"/>
      </w:rPr>
      <w:t>1.1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spacing w:before="240" w:after="240"/>
      <w:ind w:hanging="0"/>
      <w:jc w:val="start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uiPriority w:val="99"/>
    <w:semiHidden/>
    <w:unhideWhenUsed/>
    <w:qFormat/>
    <w:rPr>
      <w:sz w:val="20"/>
      <w:szCs w:val="20"/>
    </w:rPr>
  </w:style>
  <w:style w:type="character" w:styleId="CabealhoChar" w:customStyle="1">
    <w:name w:val="Cabeçalho Char"/>
    <w:basedOn w:val="DefaultParagraphFont"/>
    <w:uiPriority w:val="99"/>
    <w:qFormat/>
    <w:rsid w:val="003551d0"/>
    <w:rPr/>
  </w:style>
  <w:style w:type="character" w:styleId="RodapChar" w:customStyle="1">
    <w:name w:val="Rodapé Char"/>
    <w:basedOn w:val="DefaultParagraphFont"/>
    <w:uiPriority w:val="99"/>
    <w:qFormat/>
    <w:rsid w:val="003551d0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/>
    <w:rPr>
      <w:sz w:val="56"/>
      <w:szCs w:val="56"/>
    </w:rPr>
  </w:style>
  <w:style w:type="paragraph" w:styleId="Forte1" w:customStyle="1">
    <w:name w:val="Forte1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Textodenotaderodap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EndnoteText">
    <w:name w:val="endnote text"/>
    <w:basedOn w:val="Normal"/>
    <w:link w:val="Textodenotadefim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551d0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3551d0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semiHidden/>
    <w:unhideWhenUsed/>
    <w:qFormat/>
    <w:rsid w:val="004865b0"/>
    <w:pPr/>
    <w:rPr>
      <w:rFonts w:ascii="Times New Roman" w:hAnsi="Times New Roman" w:cs="Times New Roman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02EB8-FC4B-4D05-83AB-668319D4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LibreOffice/26.2.4.2$Windows_X86_64 LibreOffice_project/0229ac93fcf0d7cbc6376066c6f35021cef002dc</Application>
  <AppVersion>15.0000</AppVersion>
  <Pages>2</Pages>
  <Words>1003</Words>
  <Characters>5091</Characters>
  <CharactersWithSpaces>5987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2026-10-26T19:55:00Z</dcterms:created>
  <dc:creator>Un-named</dc:creator>
  <dc:description/>
  <dc:language>pt-BR</dc:language>
  <cp:lastModifiedBy/>
  <cp:lastPrinted>2026-10-26T19:43:00Z</cp:lastPrinted>
  <dcterms:modified xsi:type="dcterms:W3CDTF">2026-10-29T14:24:47Z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