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8B93C" w14:textId="3BABA48E" w:rsidR="00AB4914" w:rsidRDefault="00745096" w:rsidP="00AB4914">
      <w:r w:rsidRPr="00745096">
        <w:t xml:space="preserve">      </w:t>
      </w:r>
    </w:p>
    <w:p w14:paraId="0C3D394B" w14:textId="77777777" w:rsidR="00AB4914" w:rsidRPr="00AB4914" w:rsidRDefault="00AB4914" w:rsidP="00AB4914">
      <w:pPr>
        <w:widowControl/>
        <w:spacing w:before="100" w:beforeAutospacing="1" w:after="100" w:afterAutospacing="1"/>
        <w:jc w:val="left"/>
        <w:outlineLvl w:val="0"/>
        <w:rPr>
          <w:rFonts w:ascii="宋体" w:eastAsia="宋体" w:hAnsi="宋体" w:cs="宋体"/>
          <w:b/>
          <w:bCs/>
          <w:kern w:val="36"/>
          <w:sz w:val="48"/>
          <w:szCs w:val="48"/>
        </w:rPr>
      </w:pPr>
      <w:r w:rsidRPr="00AB4914">
        <w:rPr>
          <w:rFonts w:ascii="宋体" w:eastAsia="宋体" w:hAnsi="宋体" w:cs="宋体"/>
          <w:b/>
          <w:bCs/>
          <w:kern w:val="36"/>
          <w:sz w:val="48"/>
          <w:szCs w:val="48"/>
        </w:rPr>
        <w:t>个人案例总结——Faker职业生涯案例分析</w:t>
      </w:r>
    </w:p>
    <w:p w14:paraId="23CBAEB7" w14:textId="77777777"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本次案例汇报以《英雄联盟》职业选手Faker（李相赫）的职业生涯为研究对象，通过采集多渠道视频文本数据，结合电子竞技行业发展背景，将Faker的职业生涯划分为三个核心时期，完成了对其职业发展轨迹、竞技状态变化及行业影响力的系统性分析。现将本次案例研究的核心内容、研究过程、收获与不足总结如下，以期沉淀研究方法，优化后续案例分析工作。</w:t>
      </w:r>
    </w:p>
    <w:p w14:paraId="57FA6C5C" w14:textId="77777777" w:rsidR="00AB4914" w:rsidRPr="00AB4914" w:rsidRDefault="00AB4914" w:rsidP="00AB4914">
      <w:pPr>
        <w:widowControl/>
        <w:spacing w:before="100" w:beforeAutospacing="1" w:after="100" w:afterAutospacing="1"/>
        <w:jc w:val="left"/>
        <w:outlineLvl w:val="1"/>
        <w:rPr>
          <w:rFonts w:ascii="宋体" w:eastAsia="宋体" w:hAnsi="宋体" w:cs="宋体"/>
          <w:b/>
          <w:bCs/>
          <w:kern w:val="0"/>
          <w:sz w:val="36"/>
          <w:szCs w:val="36"/>
        </w:rPr>
      </w:pPr>
      <w:r w:rsidRPr="00AB4914">
        <w:rPr>
          <w:rFonts w:ascii="宋体" w:eastAsia="宋体" w:hAnsi="宋体" w:cs="宋体"/>
          <w:b/>
          <w:bCs/>
          <w:kern w:val="0"/>
          <w:sz w:val="36"/>
          <w:szCs w:val="36"/>
        </w:rPr>
        <w:t>一、案例研究核心内容回顾</w:t>
      </w:r>
    </w:p>
    <w:p w14:paraId="3D1BE302" w14:textId="77777777"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本次研究的核心目标是通过数据驱动的方式，解构顶尖电子竞技选手的职业生涯发展规律，为电子竞技行业选手培养、职业规划提供参考。研究核心内容围绕“数据采集-阶段划分-特征分析”三大模块展开：</w:t>
      </w:r>
    </w:p>
    <w:p w14:paraId="71E0988B"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（一）数据采集与处理</w:t>
      </w:r>
    </w:p>
    <w:p w14:paraId="5048FE03" w14:textId="655746FD"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数据采集范围涵盖Faker职业生涯各阶段的比赛录像、赛后采访、官方赛事报道、电竞媒体评论及粉丝社区讨论等文本及视频文本。为保证数据的真实性与代表性，采用“官方渠道优先、多源交叉验证”的原则，筛选</w:t>
      </w:r>
      <w:r>
        <w:rPr>
          <w:rFonts w:ascii="宋体" w:eastAsia="宋体" w:hAnsi="宋体" w:cs="宋体" w:hint="eastAsia"/>
          <w:kern w:val="0"/>
          <w:sz w:val="24"/>
          <w:szCs w:val="24"/>
        </w:rPr>
        <w:t>数据</w:t>
      </w:r>
      <w:r w:rsidRPr="00AB4914">
        <w:rPr>
          <w:rFonts w:ascii="宋体" w:eastAsia="宋体" w:hAnsi="宋体" w:cs="宋体"/>
          <w:kern w:val="0"/>
          <w:sz w:val="24"/>
          <w:szCs w:val="24"/>
        </w:rPr>
        <w:t>。数据处理阶段，通过文本分词、关键词提取、情感倾向分析等方法，提炼出各时期核心竞技数据（如胜率、KDA、英雄池深度）与口碑数据（如媒体评价、粉丝认可度），为后续阶段划分提供量化支撑。</w:t>
      </w:r>
    </w:p>
    <w:p w14:paraId="1B459A20"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（二）职业生涯三阶段划分及核心特征</w:t>
      </w:r>
    </w:p>
    <w:p w14:paraId="583679B7" w14:textId="77777777"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结合数据特征与行业发展节点，本次研究将Faker的职业生涯划分为三个明确时期，各时期核心特征如下：</w:t>
      </w:r>
    </w:p>
    <w:p w14:paraId="3CE8553F" w14:textId="341C3C81"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第一阶段为“巅峰崛起期”（2013-201</w:t>
      </w:r>
      <w:r>
        <w:rPr>
          <w:rFonts w:ascii="宋体" w:eastAsia="宋体" w:hAnsi="宋体" w:cs="宋体" w:hint="eastAsia"/>
          <w:kern w:val="0"/>
          <w:sz w:val="24"/>
          <w:szCs w:val="24"/>
        </w:rPr>
        <w:t>6</w:t>
      </w:r>
      <w:r w:rsidRPr="00AB4914">
        <w:rPr>
          <w:rFonts w:ascii="宋体" w:eastAsia="宋体" w:hAnsi="宋体" w:cs="宋体"/>
          <w:kern w:val="0"/>
          <w:sz w:val="24"/>
          <w:szCs w:val="24"/>
        </w:rPr>
        <w:t>年）。此阶段Faker以新人身份出道，凭借极具侵略性的打法迅速登顶赛场，期间斩获</w:t>
      </w:r>
      <w:r>
        <w:rPr>
          <w:rFonts w:ascii="宋体" w:eastAsia="宋体" w:hAnsi="宋体" w:cs="宋体" w:hint="eastAsia"/>
          <w:kern w:val="0"/>
          <w:sz w:val="24"/>
          <w:szCs w:val="24"/>
        </w:rPr>
        <w:t>3</w:t>
      </w:r>
      <w:r w:rsidRPr="00AB4914">
        <w:rPr>
          <w:rFonts w:ascii="宋体" w:eastAsia="宋体" w:hAnsi="宋体" w:cs="宋体"/>
          <w:kern w:val="0"/>
          <w:sz w:val="24"/>
          <w:szCs w:val="24"/>
        </w:rPr>
        <w:t>次全球总决赛冠军、核心竞技数据处于行业顶尖水平，英雄池覆盖全类型中单英雄，成为《英雄联盟》电竞圈的“现象级选手”。数据显示，</w:t>
      </w:r>
      <w:r>
        <w:rPr>
          <w:rFonts w:ascii="宋体" w:eastAsia="宋体" w:hAnsi="宋体" w:cs="宋体" w:hint="eastAsia"/>
          <w:kern w:val="0"/>
          <w:sz w:val="24"/>
          <w:szCs w:val="24"/>
        </w:rPr>
        <w:t>该阶段</w:t>
      </w:r>
      <w:r w:rsidRPr="00AB4914">
        <w:rPr>
          <w:rFonts w:ascii="宋体" w:eastAsia="宋体" w:hAnsi="宋体" w:cs="宋体"/>
          <w:kern w:val="0"/>
          <w:sz w:val="24"/>
          <w:szCs w:val="24"/>
        </w:rPr>
        <w:t>媒体及粉丝评价以“天赋型选手”“赛场统治力”为主，情感倾向正面率</w:t>
      </w:r>
      <w:r>
        <w:rPr>
          <w:rFonts w:ascii="宋体" w:eastAsia="宋体" w:hAnsi="宋体" w:cs="宋体" w:hint="eastAsia"/>
          <w:kern w:val="0"/>
          <w:sz w:val="24"/>
          <w:szCs w:val="24"/>
        </w:rPr>
        <w:t>极高</w:t>
      </w:r>
      <w:r w:rsidRPr="00AB4914">
        <w:rPr>
          <w:rFonts w:ascii="宋体" w:eastAsia="宋体" w:hAnsi="宋体" w:cs="宋体"/>
          <w:kern w:val="0"/>
          <w:sz w:val="24"/>
          <w:szCs w:val="24"/>
        </w:rPr>
        <w:t>。</w:t>
      </w:r>
    </w:p>
    <w:p w14:paraId="381B1DB7" w14:textId="7255A715"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第二阶段为“起伏调整期”（201</w:t>
      </w:r>
      <w:r>
        <w:rPr>
          <w:rFonts w:ascii="宋体" w:eastAsia="宋体" w:hAnsi="宋体" w:cs="宋体" w:hint="eastAsia"/>
          <w:kern w:val="0"/>
          <w:sz w:val="24"/>
          <w:szCs w:val="24"/>
        </w:rPr>
        <w:t>7</w:t>
      </w:r>
      <w:r w:rsidRPr="00AB4914">
        <w:rPr>
          <w:rFonts w:ascii="宋体" w:eastAsia="宋体" w:hAnsi="宋体" w:cs="宋体"/>
          <w:kern w:val="0"/>
          <w:sz w:val="24"/>
          <w:szCs w:val="24"/>
        </w:rPr>
        <w:t>-2019年）。随着电子竞技行业快速发展，各赛区竞技水平差距缩小，Faker所在的SKT战队面临阵容调整与新生代选手的冲击，其个人竞技状态出现波动。但此阶段Faker</w:t>
      </w:r>
      <w:r>
        <w:rPr>
          <w:rFonts w:ascii="宋体" w:eastAsia="宋体" w:hAnsi="宋体" w:cs="宋体" w:hint="eastAsia"/>
          <w:kern w:val="0"/>
          <w:sz w:val="24"/>
          <w:szCs w:val="24"/>
        </w:rPr>
        <w:t>开始了</w:t>
      </w:r>
      <w:r w:rsidRPr="00AB4914">
        <w:rPr>
          <w:rFonts w:ascii="宋体" w:eastAsia="宋体" w:hAnsi="宋体" w:cs="宋体"/>
          <w:kern w:val="0"/>
          <w:sz w:val="24"/>
          <w:szCs w:val="24"/>
        </w:rPr>
        <w:t>从“纯粹的操作型选手”向“团队指挥型核心”的转型，比赛中更注重团队节奏把控与资源分配。数，期间助力战队再夺1次</w:t>
      </w:r>
      <w:proofErr w:type="spellStart"/>
      <w:r>
        <w:rPr>
          <w:rFonts w:ascii="宋体" w:eastAsia="宋体" w:hAnsi="宋体" w:cs="宋体" w:hint="eastAsia"/>
          <w:kern w:val="0"/>
          <w:sz w:val="24"/>
          <w:szCs w:val="24"/>
        </w:rPr>
        <w:t>lck</w:t>
      </w:r>
      <w:proofErr w:type="spellEnd"/>
      <w:r w:rsidRPr="00AB4914">
        <w:rPr>
          <w:rFonts w:ascii="宋体" w:eastAsia="宋体" w:hAnsi="宋体" w:cs="宋体"/>
          <w:kern w:val="0"/>
          <w:sz w:val="24"/>
          <w:szCs w:val="24"/>
        </w:rPr>
        <w:t>冠军，展现出极强的适应能力。</w:t>
      </w:r>
    </w:p>
    <w:p w14:paraId="034FC86E" w14:textId="0B9ED569"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lastRenderedPageBreak/>
        <w:t>第三阶段为“坚守传承期”（2020年至今）。作为电竞行业的“元老级选手”，Faker的竞技状态虽随年龄增长有所下滑，但凭借丰富的比赛经验与职业素养，成为战队的精神支柱与新人培养核心。此阶段其核心贡献集中在战术传承、团队凝聚力塑造上，其场均参团率保持</w:t>
      </w:r>
      <w:r>
        <w:rPr>
          <w:rFonts w:ascii="宋体" w:eastAsia="宋体" w:hAnsi="宋体" w:cs="宋体" w:hint="eastAsia"/>
          <w:kern w:val="0"/>
          <w:sz w:val="24"/>
          <w:szCs w:val="24"/>
        </w:rPr>
        <w:t>较高水准</w:t>
      </w:r>
      <w:r w:rsidRPr="00AB4914">
        <w:rPr>
          <w:rFonts w:ascii="宋体" w:eastAsia="宋体" w:hAnsi="宋体" w:cs="宋体"/>
          <w:kern w:val="0"/>
          <w:sz w:val="24"/>
          <w:szCs w:val="24"/>
        </w:rPr>
        <w:t>，新人选手在其带动下成长速度显著，同时Faker积极参与电竞行业规范化建设，推动了电竞选手职业保障体系的完善，行业影响力从赛场内延伸至赛场外。</w:t>
      </w:r>
    </w:p>
    <w:p w14:paraId="26C8DA5C"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（三）案例核心结论</w:t>
      </w:r>
    </w:p>
    <w:p w14:paraId="026DD052" w14:textId="5BA47CA7"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通过对Faker职业生涯的系统性分析，本次研究得出三大核心结论：一是顶尖电竞选手的职业生涯发展与行业发展节奏高度契合，其个人转型轨迹反映了电子竞技从“个人操作主导”向“团队协作主导”的发展趋势；二是数据驱动的分析方法能够精准捕捉选手竞技状态与口碑变化的核心规律，为</w:t>
      </w:r>
      <w:r>
        <w:rPr>
          <w:rFonts w:ascii="宋体" w:eastAsia="宋体" w:hAnsi="宋体" w:cs="宋体" w:hint="eastAsia"/>
          <w:kern w:val="0"/>
          <w:sz w:val="24"/>
          <w:szCs w:val="24"/>
        </w:rPr>
        <w:t>总结选手生涯故事提供帮助。</w:t>
      </w:r>
      <w:r w:rsidRPr="00AB4914">
        <w:rPr>
          <w:rFonts w:ascii="宋体" w:eastAsia="宋体" w:hAnsi="宋体" w:cs="宋体"/>
          <w:kern w:val="0"/>
          <w:sz w:val="24"/>
          <w:szCs w:val="24"/>
        </w:rPr>
        <w:t>三是顶尖选手的长期坚守不仅依赖个人天赋与努力，更离不开对行业的认同感与责任感</w:t>
      </w:r>
      <w:r>
        <w:rPr>
          <w:rFonts w:ascii="宋体" w:eastAsia="宋体" w:hAnsi="宋体" w:cs="宋体" w:hint="eastAsia"/>
          <w:kern w:val="0"/>
          <w:sz w:val="24"/>
          <w:szCs w:val="24"/>
        </w:rPr>
        <w:t>与对游戏本身纯粹的热爱</w:t>
      </w:r>
      <w:r w:rsidRPr="00AB4914">
        <w:rPr>
          <w:rFonts w:ascii="宋体" w:eastAsia="宋体" w:hAnsi="宋体" w:cs="宋体"/>
          <w:kern w:val="0"/>
          <w:sz w:val="24"/>
          <w:szCs w:val="24"/>
        </w:rPr>
        <w:t>，其行业影响力具有不可替代性。</w:t>
      </w:r>
    </w:p>
    <w:p w14:paraId="49DD9C8D" w14:textId="77777777" w:rsidR="00AB4914" w:rsidRPr="00AB4914" w:rsidRDefault="00AB4914" w:rsidP="00AB4914">
      <w:pPr>
        <w:widowControl/>
        <w:spacing w:before="100" w:beforeAutospacing="1" w:after="100" w:afterAutospacing="1"/>
        <w:jc w:val="left"/>
        <w:outlineLvl w:val="1"/>
        <w:rPr>
          <w:rFonts w:ascii="宋体" w:eastAsia="宋体" w:hAnsi="宋体" w:cs="宋体"/>
          <w:b/>
          <w:bCs/>
          <w:kern w:val="0"/>
          <w:sz w:val="36"/>
          <w:szCs w:val="36"/>
        </w:rPr>
      </w:pPr>
      <w:r w:rsidRPr="00AB4914">
        <w:rPr>
          <w:rFonts w:ascii="宋体" w:eastAsia="宋体" w:hAnsi="宋体" w:cs="宋体"/>
          <w:b/>
          <w:bCs/>
          <w:kern w:val="0"/>
          <w:sz w:val="36"/>
          <w:szCs w:val="36"/>
        </w:rPr>
        <w:t>二、研究过程中的收获与体会</w:t>
      </w:r>
    </w:p>
    <w:p w14:paraId="55CBA0FE"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（一）专业能力的提升</w:t>
      </w:r>
    </w:p>
    <w:p w14:paraId="7FEC23F6" w14:textId="504EE6E3"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本次案例研究有效提升了我的数据采集与分析能力。在数据采集阶段，通过对多渠道信息的筛选与整合，我掌握了“多源交叉验证”的核心方法，能够快速识别有效信息与无效信息；在数据处理阶段，通过运用文本分析工具，我初步掌握了量化分析的基本逻辑，同时，在案例汇报的准备过程中，我提升了逻辑梳理与语言表达能力，能够将复杂的研究内容转化为清晰、有条理的汇报内容，让听众快速理解研究核心结论。</w:t>
      </w:r>
    </w:p>
    <w:p w14:paraId="212C7F97"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（二）对电子竞技行业的深度认知</w:t>
      </w:r>
    </w:p>
    <w:p w14:paraId="43279AFF" w14:textId="51754B49"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此前我对电子竞技行业的认知多停留在“赛事观赏”层面，通过本次案例研究，我深入了解了电子竞技选手的职业发展规律与行业生态。我认识到，电子竞技选手的职业生涯具有“高强度、高压力、周期短”的特点，其长期发展需要兼顾竞技状态保持、个人转型与职业规划；同时，电子竞技行业正处于快速发展与规范化的关键阶段，顶尖选手不仅是赛事的核心参与者，更是行业文化传播与规范化建设的重要推动力量。这种深度认知让我</w:t>
      </w:r>
      <w:r>
        <w:rPr>
          <w:rFonts w:ascii="宋体" w:eastAsia="宋体" w:hAnsi="宋体" w:cs="宋体" w:hint="eastAsia"/>
          <w:kern w:val="0"/>
          <w:sz w:val="24"/>
          <w:szCs w:val="24"/>
        </w:rPr>
        <w:t>改变</w:t>
      </w:r>
      <w:r w:rsidRPr="00AB4914">
        <w:rPr>
          <w:rFonts w:ascii="宋体" w:eastAsia="宋体" w:hAnsi="宋体" w:cs="宋体"/>
          <w:kern w:val="0"/>
          <w:sz w:val="24"/>
          <w:szCs w:val="24"/>
        </w:rPr>
        <w:t>了对电子竞技的刻板印象，看到了其作为新兴行业的活力与发展潜力。</w:t>
      </w:r>
    </w:p>
    <w:p w14:paraId="61720BFD"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（三）对“坚持与转型”的深刻理解</w:t>
      </w:r>
    </w:p>
    <w:p w14:paraId="6F42E391" w14:textId="168B5692"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lastRenderedPageBreak/>
        <w:t>Faker的职业生涯让我对“坚持与转型”有了深刻的体会。在长达十余年的职业生涯中，Faker经历了巅峰与低谷，但始终保持着对电竞的热爱与对胜利的渴望，这种坚守精神是其长期立足行业的核心支撑。同时，面对行业变化与个人状态波动，Faker能够主动调整自身定位，从“操作型选手”转型为“指挥型核心”再到“</w:t>
      </w:r>
      <w:r>
        <w:rPr>
          <w:rFonts w:ascii="宋体" w:eastAsia="宋体" w:hAnsi="宋体" w:cs="宋体" w:hint="eastAsia"/>
          <w:kern w:val="0"/>
          <w:sz w:val="24"/>
          <w:szCs w:val="24"/>
        </w:rPr>
        <w:t>团队</w:t>
      </w:r>
      <w:r w:rsidRPr="00AB4914">
        <w:rPr>
          <w:rFonts w:ascii="宋体" w:eastAsia="宋体" w:hAnsi="宋体" w:cs="宋体"/>
          <w:kern w:val="0"/>
          <w:sz w:val="24"/>
          <w:szCs w:val="24"/>
        </w:rPr>
        <w:t>型领袖”，这种主动适应变化的能力是其职业生涯延续的关键。这一过程让我认识到，无论是个人发展还是行业实践，只有在坚持核心初心的基础上主动适应变化，才能实现长期稳定的发展。</w:t>
      </w:r>
    </w:p>
    <w:p w14:paraId="742118C6" w14:textId="77777777" w:rsidR="00AB4914" w:rsidRPr="00AB4914" w:rsidRDefault="00AB4914" w:rsidP="00AB4914">
      <w:pPr>
        <w:widowControl/>
        <w:spacing w:before="100" w:beforeAutospacing="1" w:after="100" w:afterAutospacing="1"/>
        <w:jc w:val="left"/>
        <w:outlineLvl w:val="1"/>
        <w:rPr>
          <w:rFonts w:ascii="宋体" w:eastAsia="宋体" w:hAnsi="宋体" w:cs="宋体"/>
          <w:b/>
          <w:bCs/>
          <w:kern w:val="0"/>
          <w:sz w:val="36"/>
          <w:szCs w:val="36"/>
        </w:rPr>
      </w:pPr>
      <w:r w:rsidRPr="00AB4914">
        <w:rPr>
          <w:rFonts w:ascii="宋体" w:eastAsia="宋体" w:hAnsi="宋体" w:cs="宋体"/>
          <w:b/>
          <w:bCs/>
          <w:kern w:val="0"/>
          <w:sz w:val="36"/>
          <w:szCs w:val="36"/>
        </w:rPr>
        <w:t>三、研究过程中存在的不足与改进方向</w:t>
      </w:r>
    </w:p>
    <w:p w14:paraId="34C061BC"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（一）存在的不足</w:t>
      </w:r>
    </w:p>
    <w:p w14:paraId="5372423C" w14:textId="2E76C18C"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本次案例研究虽完成了核心目标，但仍存在诸多不足：一是数据采集的广度有待拓展，当前数据主要集中在赛事相关信息与官方报道，对Faker个人训练数据、战队内部沟通数据等核心隐私数据未能获取，导致对其状态调整的内在逻辑分析不够深入；二是分析方法的深度不足，本次研究以描述性分析为主，未能运用更复杂的统计模型（如回归分析、预测模型）对选手状态变化进行精准预测；三是案例对比分析缺失，未将Faker与其他顶尖选手的职业生涯进行对比，导致研究结论的普适性有待验证。</w:t>
      </w:r>
      <w:r>
        <w:rPr>
          <w:rFonts w:ascii="宋体" w:eastAsia="宋体" w:hAnsi="宋体" w:cs="宋体" w:hint="eastAsia"/>
          <w:kern w:val="0"/>
          <w:sz w:val="24"/>
          <w:szCs w:val="24"/>
        </w:rPr>
        <w:t>以及汇报时没有掌握汇报节奏，比较紧张。</w:t>
      </w:r>
    </w:p>
    <w:p w14:paraId="6163E8F0" w14:textId="77777777" w:rsidR="00AB4914" w:rsidRPr="00AB4914" w:rsidRDefault="00AB4914" w:rsidP="00AB4914">
      <w:pPr>
        <w:widowControl/>
        <w:spacing w:before="100" w:beforeAutospacing="1" w:after="100" w:afterAutospacing="1"/>
        <w:jc w:val="left"/>
        <w:outlineLvl w:val="2"/>
        <w:rPr>
          <w:rFonts w:ascii="宋体" w:eastAsia="宋体" w:hAnsi="宋体" w:cs="宋体"/>
          <w:b/>
          <w:bCs/>
          <w:kern w:val="0"/>
          <w:sz w:val="27"/>
          <w:szCs w:val="27"/>
        </w:rPr>
      </w:pPr>
      <w:r w:rsidRPr="00AB4914">
        <w:rPr>
          <w:rFonts w:ascii="宋体" w:eastAsia="宋体" w:hAnsi="宋体" w:cs="宋体"/>
          <w:b/>
          <w:bCs/>
          <w:kern w:val="0"/>
          <w:sz w:val="27"/>
          <w:szCs w:val="27"/>
        </w:rPr>
        <w:t>（二）改进方向</w:t>
      </w:r>
    </w:p>
    <w:p w14:paraId="50EC23AA" w14:textId="4E86506C" w:rsidR="00AB4914" w:rsidRPr="00AB4914" w:rsidRDefault="00AB4914" w:rsidP="00AB4914">
      <w:pPr>
        <w:widowControl/>
        <w:jc w:val="left"/>
        <w:rPr>
          <w:rFonts w:ascii="宋体" w:eastAsia="宋体" w:hAnsi="宋体" w:cs="宋体"/>
          <w:kern w:val="0"/>
          <w:sz w:val="24"/>
          <w:szCs w:val="24"/>
        </w:rPr>
      </w:pPr>
      <w:r w:rsidRPr="00AB4914">
        <w:rPr>
          <w:rFonts w:ascii="宋体" w:eastAsia="宋体" w:hAnsi="宋体" w:cs="宋体"/>
          <w:kern w:val="0"/>
          <w:sz w:val="24"/>
          <w:szCs w:val="24"/>
        </w:rPr>
        <w:t>针对以上不足，</w:t>
      </w:r>
      <w:r>
        <w:rPr>
          <w:rFonts w:ascii="宋体" w:eastAsia="宋体" w:hAnsi="宋体" w:cs="宋体" w:hint="eastAsia"/>
          <w:kern w:val="0"/>
          <w:sz w:val="24"/>
          <w:szCs w:val="24"/>
        </w:rPr>
        <w:t>可以</w:t>
      </w:r>
      <w:r w:rsidRPr="00AB4914">
        <w:rPr>
          <w:rFonts w:ascii="宋体" w:eastAsia="宋体" w:hAnsi="宋体" w:cs="宋体"/>
          <w:kern w:val="0"/>
          <w:sz w:val="24"/>
          <w:szCs w:val="24"/>
        </w:rPr>
        <w:t>从三个方面进行改进：一是拓展数据采集渠道，通过与电竞俱乐部、权威数据平台合作，获取更全面的核心数据，提升分析的深度与准确性；二是</w:t>
      </w:r>
      <w:r>
        <w:rPr>
          <w:rFonts w:ascii="宋体" w:eastAsia="宋体" w:hAnsi="宋体" w:cs="宋体" w:hint="eastAsia"/>
          <w:kern w:val="0"/>
          <w:sz w:val="24"/>
          <w:szCs w:val="24"/>
        </w:rPr>
        <w:t>提高自身语言组织能力，加强汇报水平</w:t>
      </w:r>
      <w:r w:rsidRPr="00AB4914">
        <w:rPr>
          <w:rFonts w:ascii="宋体" w:eastAsia="宋体" w:hAnsi="宋体" w:cs="宋体"/>
          <w:kern w:val="0"/>
          <w:sz w:val="24"/>
          <w:szCs w:val="24"/>
        </w:rPr>
        <w:t>；三是增加案例对比分析，选取不同赛区、不同位置的顶尖选手作为对比样本，提炼共性规律，提升研究结论的普适性与参考价值。</w:t>
      </w:r>
    </w:p>
    <w:p w14:paraId="0E2120DB" w14:textId="77777777" w:rsidR="00AB4914" w:rsidRPr="00AB4914" w:rsidRDefault="00AB4914" w:rsidP="00AB4914">
      <w:pPr>
        <w:widowControl/>
        <w:spacing w:before="100" w:beforeAutospacing="1" w:after="100" w:afterAutospacing="1"/>
        <w:jc w:val="left"/>
        <w:outlineLvl w:val="1"/>
        <w:rPr>
          <w:rFonts w:ascii="宋体" w:eastAsia="宋体" w:hAnsi="宋体" w:cs="宋体"/>
          <w:b/>
          <w:bCs/>
          <w:kern w:val="0"/>
          <w:sz w:val="36"/>
          <w:szCs w:val="36"/>
        </w:rPr>
      </w:pPr>
      <w:r w:rsidRPr="00AB4914">
        <w:rPr>
          <w:rFonts w:ascii="宋体" w:eastAsia="宋体" w:hAnsi="宋体" w:cs="宋体"/>
          <w:b/>
          <w:bCs/>
          <w:kern w:val="0"/>
          <w:sz w:val="36"/>
          <w:szCs w:val="36"/>
        </w:rPr>
        <w:t>四、总结</w:t>
      </w:r>
    </w:p>
    <w:p w14:paraId="27F61AD9" w14:textId="3CE0E29C" w:rsidR="00AB4914" w:rsidRPr="00AB4914" w:rsidRDefault="00AB4914" w:rsidP="00AB4914">
      <w:pPr>
        <w:widowControl/>
        <w:jc w:val="left"/>
        <w:rPr>
          <w:rFonts w:ascii="宋体" w:eastAsia="宋体" w:hAnsi="宋体" w:cs="宋体" w:hint="eastAsia"/>
          <w:kern w:val="0"/>
          <w:sz w:val="24"/>
          <w:szCs w:val="24"/>
        </w:rPr>
      </w:pPr>
      <w:r w:rsidRPr="00AB4914">
        <w:rPr>
          <w:rFonts w:ascii="宋体" w:eastAsia="宋体" w:hAnsi="宋体" w:cs="宋体"/>
          <w:kern w:val="0"/>
          <w:sz w:val="24"/>
          <w:szCs w:val="24"/>
        </w:rPr>
        <w:t>本次Faker职业生涯案例研究不仅让我系统梳理了顶尖电竞选手的职业发展规律，更在数据处理、逻辑分析、行业认知等方面获得了显著提升。同时，研究过程中暴露的不足也为后续</w:t>
      </w:r>
      <w:r>
        <w:rPr>
          <w:rFonts w:ascii="宋体" w:eastAsia="宋体" w:hAnsi="宋体" w:cs="宋体" w:hint="eastAsia"/>
          <w:kern w:val="0"/>
          <w:sz w:val="24"/>
          <w:szCs w:val="24"/>
        </w:rPr>
        <w:t>其他方面的</w:t>
      </w:r>
      <w:r w:rsidRPr="00AB4914">
        <w:rPr>
          <w:rFonts w:ascii="宋体" w:eastAsia="宋体" w:hAnsi="宋体" w:cs="宋体"/>
          <w:kern w:val="0"/>
          <w:sz w:val="24"/>
          <w:szCs w:val="24"/>
        </w:rPr>
        <w:t>学习与实践指明了方向。</w:t>
      </w:r>
    </w:p>
    <w:p w14:paraId="7D5294C1" w14:textId="0180D2B0" w:rsidR="000E4520" w:rsidRPr="00AB4914" w:rsidRDefault="000E4520" w:rsidP="00745096"/>
    <w:sectPr w:rsidR="000E4520" w:rsidRPr="00AB49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96"/>
    <w:rsid w:val="000E4520"/>
    <w:rsid w:val="004775D7"/>
    <w:rsid w:val="00745096"/>
    <w:rsid w:val="009D757D"/>
    <w:rsid w:val="00AB4914"/>
    <w:rsid w:val="00B27826"/>
    <w:rsid w:val="00F67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81CE"/>
  <w15:chartTrackingRefBased/>
  <w15:docId w15:val="{301625B6-2406-435C-8708-CB88481DE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777841">
      <w:bodyDiv w:val="1"/>
      <w:marLeft w:val="0"/>
      <w:marRight w:val="0"/>
      <w:marTop w:val="0"/>
      <w:marBottom w:val="0"/>
      <w:divBdr>
        <w:top w:val="none" w:sz="0" w:space="0" w:color="auto"/>
        <w:left w:val="none" w:sz="0" w:space="0" w:color="auto"/>
        <w:bottom w:val="none" w:sz="0" w:space="0" w:color="auto"/>
        <w:right w:val="none" w:sz="0" w:space="0" w:color="auto"/>
      </w:divBdr>
      <w:divsChild>
        <w:div w:id="1557157421">
          <w:marLeft w:val="0"/>
          <w:marRight w:val="0"/>
          <w:marTop w:val="0"/>
          <w:marBottom w:val="0"/>
          <w:divBdr>
            <w:top w:val="none" w:sz="0" w:space="0" w:color="auto"/>
            <w:left w:val="none" w:sz="0" w:space="0" w:color="auto"/>
            <w:bottom w:val="none" w:sz="0" w:space="0" w:color="auto"/>
            <w:right w:val="none" w:sz="0" w:space="0" w:color="auto"/>
          </w:divBdr>
          <w:divsChild>
            <w:div w:id="1099258811">
              <w:marLeft w:val="0"/>
              <w:marRight w:val="0"/>
              <w:marTop w:val="0"/>
              <w:marBottom w:val="0"/>
              <w:divBdr>
                <w:top w:val="none" w:sz="0" w:space="0" w:color="auto"/>
                <w:left w:val="none" w:sz="0" w:space="0" w:color="auto"/>
                <w:bottom w:val="none" w:sz="0" w:space="0" w:color="auto"/>
                <w:right w:val="none" w:sz="0" w:space="0" w:color="auto"/>
              </w:divBdr>
            </w:div>
            <w:div w:id="764765661">
              <w:marLeft w:val="0"/>
              <w:marRight w:val="0"/>
              <w:marTop w:val="0"/>
              <w:marBottom w:val="0"/>
              <w:divBdr>
                <w:top w:val="none" w:sz="0" w:space="0" w:color="auto"/>
                <w:left w:val="none" w:sz="0" w:space="0" w:color="auto"/>
                <w:bottom w:val="none" w:sz="0" w:space="0" w:color="auto"/>
                <w:right w:val="none" w:sz="0" w:space="0" w:color="auto"/>
              </w:divBdr>
            </w:div>
            <w:div w:id="128547973">
              <w:marLeft w:val="0"/>
              <w:marRight w:val="0"/>
              <w:marTop w:val="0"/>
              <w:marBottom w:val="0"/>
              <w:divBdr>
                <w:top w:val="none" w:sz="0" w:space="0" w:color="auto"/>
                <w:left w:val="none" w:sz="0" w:space="0" w:color="auto"/>
                <w:bottom w:val="none" w:sz="0" w:space="0" w:color="auto"/>
                <w:right w:val="none" w:sz="0" w:space="0" w:color="auto"/>
              </w:divBdr>
            </w:div>
            <w:div w:id="472866434">
              <w:marLeft w:val="0"/>
              <w:marRight w:val="0"/>
              <w:marTop w:val="0"/>
              <w:marBottom w:val="0"/>
              <w:divBdr>
                <w:top w:val="none" w:sz="0" w:space="0" w:color="auto"/>
                <w:left w:val="none" w:sz="0" w:space="0" w:color="auto"/>
                <w:bottom w:val="none" w:sz="0" w:space="0" w:color="auto"/>
                <w:right w:val="none" w:sz="0" w:space="0" w:color="auto"/>
              </w:divBdr>
            </w:div>
            <w:div w:id="1457986996">
              <w:marLeft w:val="0"/>
              <w:marRight w:val="0"/>
              <w:marTop w:val="0"/>
              <w:marBottom w:val="0"/>
              <w:divBdr>
                <w:top w:val="none" w:sz="0" w:space="0" w:color="auto"/>
                <w:left w:val="none" w:sz="0" w:space="0" w:color="auto"/>
                <w:bottom w:val="none" w:sz="0" w:space="0" w:color="auto"/>
                <w:right w:val="none" w:sz="0" w:space="0" w:color="auto"/>
              </w:divBdr>
            </w:div>
            <w:div w:id="565385517">
              <w:marLeft w:val="0"/>
              <w:marRight w:val="0"/>
              <w:marTop w:val="0"/>
              <w:marBottom w:val="0"/>
              <w:divBdr>
                <w:top w:val="none" w:sz="0" w:space="0" w:color="auto"/>
                <w:left w:val="none" w:sz="0" w:space="0" w:color="auto"/>
                <w:bottom w:val="none" w:sz="0" w:space="0" w:color="auto"/>
                <w:right w:val="none" w:sz="0" w:space="0" w:color="auto"/>
              </w:divBdr>
            </w:div>
            <w:div w:id="1581213297">
              <w:marLeft w:val="0"/>
              <w:marRight w:val="0"/>
              <w:marTop w:val="0"/>
              <w:marBottom w:val="0"/>
              <w:divBdr>
                <w:top w:val="none" w:sz="0" w:space="0" w:color="auto"/>
                <w:left w:val="none" w:sz="0" w:space="0" w:color="auto"/>
                <w:bottom w:val="none" w:sz="0" w:space="0" w:color="auto"/>
                <w:right w:val="none" w:sz="0" w:space="0" w:color="auto"/>
              </w:divBdr>
            </w:div>
            <w:div w:id="640042526">
              <w:marLeft w:val="0"/>
              <w:marRight w:val="0"/>
              <w:marTop w:val="0"/>
              <w:marBottom w:val="0"/>
              <w:divBdr>
                <w:top w:val="none" w:sz="0" w:space="0" w:color="auto"/>
                <w:left w:val="none" w:sz="0" w:space="0" w:color="auto"/>
                <w:bottom w:val="none" w:sz="0" w:space="0" w:color="auto"/>
                <w:right w:val="none" w:sz="0" w:space="0" w:color="auto"/>
              </w:divBdr>
            </w:div>
            <w:div w:id="44762758">
              <w:marLeft w:val="0"/>
              <w:marRight w:val="0"/>
              <w:marTop w:val="0"/>
              <w:marBottom w:val="0"/>
              <w:divBdr>
                <w:top w:val="none" w:sz="0" w:space="0" w:color="auto"/>
                <w:left w:val="none" w:sz="0" w:space="0" w:color="auto"/>
                <w:bottom w:val="none" w:sz="0" w:space="0" w:color="auto"/>
                <w:right w:val="none" w:sz="0" w:space="0" w:color="auto"/>
              </w:divBdr>
            </w:div>
            <w:div w:id="1574317780">
              <w:marLeft w:val="0"/>
              <w:marRight w:val="0"/>
              <w:marTop w:val="0"/>
              <w:marBottom w:val="0"/>
              <w:divBdr>
                <w:top w:val="none" w:sz="0" w:space="0" w:color="auto"/>
                <w:left w:val="none" w:sz="0" w:space="0" w:color="auto"/>
                <w:bottom w:val="none" w:sz="0" w:space="0" w:color="auto"/>
                <w:right w:val="none" w:sz="0" w:space="0" w:color="auto"/>
              </w:divBdr>
            </w:div>
            <w:div w:id="312175095">
              <w:marLeft w:val="0"/>
              <w:marRight w:val="0"/>
              <w:marTop w:val="0"/>
              <w:marBottom w:val="0"/>
              <w:divBdr>
                <w:top w:val="none" w:sz="0" w:space="0" w:color="auto"/>
                <w:left w:val="none" w:sz="0" w:space="0" w:color="auto"/>
                <w:bottom w:val="none" w:sz="0" w:space="0" w:color="auto"/>
                <w:right w:val="none" w:sz="0" w:space="0" w:color="auto"/>
              </w:divBdr>
            </w:div>
            <w:div w:id="1212839189">
              <w:marLeft w:val="0"/>
              <w:marRight w:val="0"/>
              <w:marTop w:val="0"/>
              <w:marBottom w:val="0"/>
              <w:divBdr>
                <w:top w:val="none" w:sz="0" w:space="0" w:color="auto"/>
                <w:left w:val="none" w:sz="0" w:space="0" w:color="auto"/>
                <w:bottom w:val="none" w:sz="0" w:space="0" w:color="auto"/>
                <w:right w:val="none" w:sz="0" w:space="0" w:color="auto"/>
              </w:divBdr>
            </w:div>
            <w:div w:id="1161655073">
              <w:marLeft w:val="0"/>
              <w:marRight w:val="0"/>
              <w:marTop w:val="0"/>
              <w:marBottom w:val="0"/>
              <w:divBdr>
                <w:top w:val="none" w:sz="0" w:space="0" w:color="auto"/>
                <w:left w:val="none" w:sz="0" w:space="0" w:color="auto"/>
                <w:bottom w:val="none" w:sz="0" w:space="0" w:color="auto"/>
                <w:right w:val="none" w:sz="0" w:space="0" w:color="auto"/>
              </w:divBdr>
            </w:div>
            <w:div w:id="13522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09337">
      <w:bodyDiv w:val="1"/>
      <w:marLeft w:val="0"/>
      <w:marRight w:val="0"/>
      <w:marTop w:val="0"/>
      <w:marBottom w:val="0"/>
      <w:divBdr>
        <w:top w:val="none" w:sz="0" w:space="0" w:color="auto"/>
        <w:left w:val="none" w:sz="0" w:space="0" w:color="auto"/>
        <w:bottom w:val="none" w:sz="0" w:space="0" w:color="auto"/>
        <w:right w:val="none" w:sz="0" w:space="0" w:color="auto"/>
      </w:divBdr>
    </w:div>
    <w:div w:id="1078020871">
      <w:bodyDiv w:val="1"/>
      <w:marLeft w:val="0"/>
      <w:marRight w:val="0"/>
      <w:marTop w:val="0"/>
      <w:marBottom w:val="0"/>
      <w:divBdr>
        <w:top w:val="none" w:sz="0" w:space="0" w:color="auto"/>
        <w:left w:val="none" w:sz="0" w:space="0" w:color="auto"/>
        <w:bottom w:val="none" w:sz="0" w:space="0" w:color="auto"/>
        <w:right w:val="none" w:sz="0" w:space="0" w:color="auto"/>
      </w:divBdr>
    </w:div>
    <w:div w:id="1868365903">
      <w:bodyDiv w:val="1"/>
      <w:marLeft w:val="0"/>
      <w:marRight w:val="0"/>
      <w:marTop w:val="0"/>
      <w:marBottom w:val="0"/>
      <w:divBdr>
        <w:top w:val="none" w:sz="0" w:space="0" w:color="auto"/>
        <w:left w:val="none" w:sz="0" w:space="0" w:color="auto"/>
        <w:bottom w:val="none" w:sz="0" w:space="0" w:color="auto"/>
        <w:right w:val="none" w:sz="0" w:space="0" w:color="auto"/>
      </w:divBdr>
    </w:div>
    <w:div w:id="20039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xie</dc:creator>
  <cp:keywords/>
  <dc:description/>
  <cp:lastModifiedBy>yu xie</cp:lastModifiedBy>
  <cp:revision>1</cp:revision>
  <dcterms:created xsi:type="dcterms:W3CDTF">2026-01-01T16:15:00Z</dcterms:created>
  <dcterms:modified xsi:type="dcterms:W3CDTF">2026-01-02T13:32:00Z</dcterms:modified>
</cp:coreProperties>
</file>