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DA2F" w14:textId="77777777" w:rsidR="005931E4" w:rsidRDefault="00000000">
      <w:pPr>
        <w:jc w:val="center"/>
      </w:pPr>
      <w:r>
        <w:rPr>
          <w:b/>
        </w:rPr>
        <w:t>RELATÓRIO TÉCNICO</w:t>
      </w:r>
    </w:p>
    <w:p w14:paraId="1CBB3496" w14:textId="77777777" w:rsidR="005931E4" w:rsidRDefault="00000000">
      <w:pPr>
        <w:jc w:val="center"/>
      </w:pPr>
      <w:r>
        <w:rPr>
          <w:b/>
        </w:rPr>
        <w:t>Análise de Regressão Linear Múltipla — Indicadores Financeiros</w:t>
      </w:r>
    </w:p>
    <w:p w14:paraId="54DD2D77" w14:textId="77777777" w:rsidR="005931E4" w:rsidRDefault="00000000">
      <w:pPr>
        <w:jc w:val="center"/>
      </w:pPr>
      <w:r>
        <w:t>Projeto Interdisciplinar — Ciência de Dados</w:t>
      </w:r>
    </w:p>
    <w:p w14:paraId="4426194E" w14:textId="4A4700D0" w:rsidR="005931E4" w:rsidRPr="00EE7592" w:rsidRDefault="00000000">
      <w:pPr>
        <w:pStyle w:val="Ttulo1"/>
        <w:rPr>
          <w:sz w:val="36"/>
          <w:szCs w:val="36"/>
        </w:rPr>
      </w:pPr>
      <w:r w:rsidRPr="00EE7592">
        <w:rPr>
          <w:sz w:val="36"/>
          <w:szCs w:val="36"/>
        </w:rPr>
        <w:t xml:space="preserve">1. </w:t>
      </w:r>
      <w:proofErr w:type="spellStart"/>
      <w:r w:rsidRPr="00EE7592">
        <w:rPr>
          <w:sz w:val="36"/>
          <w:szCs w:val="36"/>
        </w:rPr>
        <w:t>Objetivo</w:t>
      </w:r>
      <w:proofErr w:type="spellEnd"/>
      <w:r w:rsidR="00EE7592">
        <w:rPr>
          <w:sz w:val="36"/>
          <w:szCs w:val="36"/>
        </w:rPr>
        <w:t>:</w:t>
      </w:r>
    </w:p>
    <w:p w14:paraId="04A58E78" w14:textId="77777777" w:rsidR="005931E4" w:rsidRDefault="00000000">
      <w:r>
        <w:t>Investigar a associação entre o saldo final de caixa (FLU) e quatro indicadores financeiros: receita e EBITDA (DRE), ativo circulante e passivo circulante (BAL). O modelo é explicativo e não deve ser interpretado como demonstração de causalidade.</w:t>
      </w:r>
    </w:p>
    <w:p w14:paraId="5E574FDC" w14:textId="7D53D3E3" w:rsidR="005931E4" w:rsidRPr="00EE7592" w:rsidRDefault="00000000">
      <w:pPr>
        <w:pStyle w:val="Ttulo1"/>
        <w:rPr>
          <w:sz w:val="36"/>
          <w:szCs w:val="36"/>
        </w:rPr>
      </w:pPr>
      <w:r w:rsidRPr="00EE7592">
        <w:rPr>
          <w:sz w:val="36"/>
          <w:szCs w:val="36"/>
        </w:rPr>
        <w:t xml:space="preserve">2. Dados e </w:t>
      </w:r>
      <w:proofErr w:type="spellStart"/>
      <w:r w:rsidRPr="00EE7592">
        <w:rPr>
          <w:sz w:val="36"/>
          <w:szCs w:val="36"/>
        </w:rPr>
        <w:t>metodologia</w:t>
      </w:r>
      <w:proofErr w:type="spellEnd"/>
      <w:r w:rsidR="00EE7592">
        <w:rPr>
          <w:sz w:val="36"/>
          <w:szCs w:val="36"/>
        </w:rPr>
        <w:t>:</w:t>
      </w:r>
    </w:p>
    <w:p w14:paraId="569F8296" w14:textId="77777777" w:rsidR="005931E4" w:rsidRDefault="00000000">
      <w:r>
        <w:t>A base preparada contém 14,400 observações ano–cenário, de 1,200 cenários e 12 anos por cenário (quando completos). Os valores monetários estão expressos em R$ bilhões. Foram usados 11,520 registros para treinamento e 2,880 para teste, com separação de 80%/20% dos cenários (GroupShuffleSplit, semente 42), evitando que observações de um mesmo cenário sejam divididas entre os conjuntos. O modelo foi ajustado por mínimos quadrados ordinários com intercepto.</w:t>
      </w:r>
    </w:p>
    <w:p w14:paraId="4061A243" w14:textId="77777777" w:rsidR="005931E4" w:rsidRDefault="00000000">
      <w:r>
        <w:t xml:space="preserve">As variáveis foram obtidas da base preparada para regressão. </w:t>
      </w:r>
      <w:proofErr w:type="gramStart"/>
      <w:r>
        <w:t>A</w:t>
      </w:r>
      <w:proofErr w:type="gramEnd"/>
      <w:r>
        <w:t xml:space="preserve"> agregação por ano e cenário pressupõe que cada indicador represente a mesma unidade financeira; eventuais duplicidades e convenções de sinais devem ser conferidas com a </w:t>
      </w:r>
      <w:proofErr w:type="spellStart"/>
      <w:r>
        <w:t>fonte</w:t>
      </w:r>
      <w:proofErr w:type="spellEnd"/>
      <w:r>
        <w:t xml:space="preserve"> original.</w:t>
      </w:r>
    </w:p>
    <w:p w14:paraId="7E56189B" w14:textId="77777777" w:rsidR="00EE7592" w:rsidRDefault="00EE7592"/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5931E4" w14:paraId="08A1C146" w14:textId="77777777" w:rsidTr="00593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7C9AC226" w14:textId="77777777" w:rsidR="005931E4" w:rsidRDefault="00000000">
            <w:r>
              <w:t>Papel</w:t>
            </w:r>
          </w:p>
        </w:tc>
        <w:tc>
          <w:tcPr>
            <w:tcW w:w="4752" w:type="dxa"/>
          </w:tcPr>
          <w:p w14:paraId="58171587" w14:textId="77777777" w:rsidR="005931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Variável</w:t>
            </w:r>
          </w:p>
        </w:tc>
      </w:tr>
      <w:tr w:rsidR="005931E4" w14:paraId="4E03F7D6" w14:textId="77777777" w:rsidTr="0059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40805D1E" w14:textId="77777777" w:rsidR="005931E4" w:rsidRDefault="00000000">
            <w:r>
              <w:t>Dependente</w:t>
            </w:r>
          </w:p>
        </w:tc>
        <w:tc>
          <w:tcPr>
            <w:tcW w:w="4752" w:type="dxa"/>
          </w:tcPr>
          <w:p w14:paraId="178114B4" w14:textId="77777777" w:rsidR="00593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 – Saldo Final</w:t>
            </w:r>
          </w:p>
        </w:tc>
      </w:tr>
      <w:tr w:rsidR="005931E4" w14:paraId="122182CC" w14:textId="77777777" w:rsidTr="005931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9479A4C" w14:textId="77777777" w:rsidR="005931E4" w:rsidRDefault="00000000">
            <w:r>
              <w:t>Independentes</w:t>
            </w:r>
          </w:p>
        </w:tc>
        <w:tc>
          <w:tcPr>
            <w:tcW w:w="4752" w:type="dxa"/>
          </w:tcPr>
          <w:p w14:paraId="1AF70903" w14:textId="77777777" w:rsidR="00593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DRE – Receita; DRE – EBITDA; BAL – Passivo Circulante; BAL – Ativo Circulante</w:t>
            </w:r>
          </w:p>
        </w:tc>
      </w:tr>
    </w:tbl>
    <w:p w14:paraId="2AA38342" w14:textId="77777777" w:rsidR="005931E4" w:rsidRDefault="005931E4"/>
    <w:p w14:paraId="5DEF48D3" w14:textId="77777777" w:rsidR="005931E4" w:rsidRPr="00EE7592" w:rsidRDefault="00000000">
      <w:pPr>
        <w:pStyle w:val="Ttulo1"/>
        <w:rPr>
          <w:sz w:val="36"/>
          <w:szCs w:val="36"/>
        </w:rPr>
      </w:pPr>
      <w:r w:rsidRPr="00EE7592">
        <w:rPr>
          <w:sz w:val="36"/>
          <w:szCs w:val="36"/>
        </w:rPr>
        <w:lastRenderedPageBreak/>
        <w:t>3. Análise de correlação</w:t>
      </w:r>
    </w:p>
    <w:p w14:paraId="3FC9BC4A" w14:textId="77777777" w:rsidR="005931E4" w:rsidRDefault="00000000">
      <w:pPr>
        <w:jc w:val="center"/>
      </w:pPr>
      <w:r>
        <w:rPr>
          <w:noProof/>
        </w:rPr>
        <w:drawing>
          <wp:inline distT="0" distB="0" distL="0" distR="0" wp14:anchorId="484BDED0" wp14:editId="21AFB452">
            <wp:extent cx="5852160" cy="39636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orio_correl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469B" w14:textId="77777777" w:rsidR="00EE7592" w:rsidRDefault="00EE7592"/>
    <w:p w14:paraId="4AAE0B3D" w14:textId="1C04823E" w:rsidR="005931E4" w:rsidRDefault="00000000">
      <w:r>
        <w:t xml:space="preserve">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associações</w:t>
      </w:r>
      <w:proofErr w:type="spellEnd"/>
      <w:r>
        <w:t xml:space="preserve"> lineares entre os indicadores. Correlações altas entre variáveis explicativas podem dificultar a interpretação isolada dos coeficientes. A correlação, por si só, não estabelece causalidade.</w:t>
      </w:r>
    </w:p>
    <w:p w14:paraId="11F2094A" w14:textId="77777777" w:rsidR="005931E4" w:rsidRDefault="00000000">
      <w:pPr>
        <w:pStyle w:val="Ttulo1"/>
      </w:pPr>
      <w:r>
        <w:t>4. Ajuste e métricas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5931E4" w14:paraId="61728DDA" w14:textId="77777777" w:rsidTr="00593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D5B2577" w14:textId="77777777" w:rsidR="005931E4" w:rsidRDefault="00000000">
            <w:r>
              <w:t>Métrica</w:t>
            </w:r>
          </w:p>
        </w:tc>
        <w:tc>
          <w:tcPr>
            <w:tcW w:w="4752" w:type="dxa"/>
          </w:tcPr>
          <w:p w14:paraId="7CB907F0" w14:textId="77777777" w:rsidR="005931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5931E4" w14:paraId="544FD694" w14:textId="77777777" w:rsidTr="0059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2B8D438" w14:textId="77777777" w:rsidR="005931E4" w:rsidRDefault="00000000">
            <w:r>
              <w:t>R² — treinamento</w:t>
            </w:r>
          </w:p>
        </w:tc>
        <w:tc>
          <w:tcPr>
            <w:tcW w:w="4752" w:type="dxa"/>
          </w:tcPr>
          <w:p w14:paraId="07B20AAA" w14:textId="77777777" w:rsidR="00593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0,9936</w:t>
            </w:r>
          </w:p>
        </w:tc>
      </w:tr>
      <w:tr w:rsidR="005931E4" w14:paraId="67F4F6E3" w14:textId="77777777" w:rsidTr="005931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15E7CCCB" w14:textId="77777777" w:rsidR="005931E4" w:rsidRDefault="00000000">
            <w:r>
              <w:t>R² — teste</w:t>
            </w:r>
          </w:p>
        </w:tc>
        <w:tc>
          <w:tcPr>
            <w:tcW w:w="4752" w:type="dxa"/>
          </w:tcPr>
          <w:p w14:paraId="78A8348D" w14:textId="77777777" w:rsidR="00593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0,9941</w:t>
            </w:r>
          </w:p>
        </w:tc>
      </w:tr>
      <w:tr w:rsidR="005931E4" w14:paraId="4D7C2148" w14:textId="77777777" w:rsidTr="0059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3BB0516F" w14:textId="77777777" w:rsidR="005931E4" w:rsidRDefault="00000000">
            <w:r>
              <w:t>MAE (R$ bilhões)</w:t>
            </w:r>
          </w:p>
        </w:tc>
        <w:tc>
          <w:tcPr>
            <w:tcW w:w="4752" w:type="dxa"/>
          </w:tcPr>
          <w:p w14:paraId="7630E989" w14:textId="77777777" w:rsidR="00593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0,0519</w:t>
            </w:r>
          </w:p>
        </w:tc>
      </w:tr>
      <w:tr w:rsidR="005931E4" w14:paraId="05BD2EBA" w14:textId="77777777" w:rsidTr="005931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2E15B261" w14:textId="77777777" w:rsidR="005931E4" w:rsidRDefault="00000000">
            <w:r>
              <w:t>RMSE (R$ bilhões)</w:t>
            </w:r>
          </w:p>
        </w:tc>
        <w:tc>
          <w:tcPr>
            <w:tcW w:w="4752" w:type="dxa"/>
          </w:tcPr>
          <w:p w14:paraId="11690A4F" w14:textId="77777777" w:rsidR="00593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0,0642</w:t>
            </w:r>
          </w:p>
        </w:tc>
      </w:tr>
    </w:tbl>
    <w:p w14:paraId="45B6479F" w14:textId="77777777" w:rsidR="005931E4" w:rsidRDefault="005931E4"/>
    <w:p w14:paraId="7CE6857C" w14:textId="77777777" w:rsidR="005931E4" w:rsidRDefault="00000000">
      <w:r>
        <w:t>O R² de teste de 0,9941 indica que o modelo explica aproximadamente 99.41% da variabilidade do saldo final observada nos cenários de teste, em relação à média desse conjunto. O MAE equivale a aproximadamente R$ 51.93 milhões, e o RMSE, a R$ 64.16 milhões. O RMSE penaliza mais fortemente erros maiores. Esses resultados descrevem desempenho em cenários retidos, não precisão comprovada em anos futuros.</w:t>
      </w:r>
    </w:p>
    <w:p w14:paraId="329BE760" w14:textId="77777777" w:rsidR="005931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A570B3" wp14:editId="21E164BC">
            <wp:extent cx="5852160" cy="3684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orio_real_previs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5368" w14:textId="77777777" w:rsidR="00EE7592" w:rsidRDefault="00EE7592">
      <w:pPr>
        <w:pStyle w:val="Ttulo1"/>
      </w:pPr>
    </w:p>
    <w:p w14:paraId="2B1F893A" w14:textId="716A1C9B" w:rsidR="005931E4" w:rsidRPr="00EE7592" w:rsidRDefault="00000000">
      <w:pPr>
        <w:pStyle w:val="Ttulo1"/>
        <w:rPr>
          <w:sz w:val="36"/>
          <w:szCs w:val="36"/>
        </w:rPr>
      </w:pPr>
      <w:r w:rsidRPr="00EE7592">
        <w:rPr>
          <w:sz w:val="36"/>
          <w:szCs w:val="36"/>
        </w:rPr>
        <w:t>5. Coeficientes e interpretação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5931E4" w14:paraId="3F86B897" w14:textId="77777777" w:rsidTr="00593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73E041AC" w14:textId="77777777" w:rsidR="005931E4" w:rsidRDefault="00000000">
            <w:r>
              <w:t>Termo</w:t>
            </w:r>
          </w:p>
        </w:tc>
        <w:tc>
          <w:tcPr>
            <w:tcW w:w="4752" w:type="dxa"/>
          </w:tcPr>
          <w:p w14:paraId="7D4447E3" w14:textId="77777777" w:rsidR="005931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Coeficiente (bilhões/bilhão)</w:t>
            </w:r>
          </w:p>
        </w:tc>
      </w:tr>
      <w:tr w:rsidR="005931E4" w14:paraId="0A73CD62" w14:textId="77777777" w:rsidTr="0059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2E644CB4" w14:textId="77777777" w:rsidR="005931E4" w:rsidRDefault="00000000">
            <w:r>
              <w:t>Intercepto</w:t>
            </w:r>
          </w:p>
        </w:tc>
        <w:tc>
          <w:tcPr>
            <w:tcW w:w="4752" w:type="dxa"/>
          </w:tcPr>
          <w:p w14:paraId="58DF52AE" w14:textId="77777777" w:rsidR="00593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-1,6784</w:t>
            </w:r>
          </w:p>
        </w:tc>
      </w:tr>
      <w:tr w:rsidR="005931E4" w14:paraId="43FE5347" w14:textId="77777777" w:rsidTr="005931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179AD8DC" w14:textId="77777777" w:rsidR="005931E4" w:rsidRDefault="00000000">
            <w:r>
              <w:t>Receita</w:t>
            </w:r>
          </w:p>
        </w:tc>
        <w:tc>
          <w:tcPr>
            <w:tcW w:w="4752" w:type="dxa"/>
          </w:tcPr>
          <w:p w14:paraId="2A7E2280" w14:textId="77777777" w:rsidR="00593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0,2528</w:t>
            </w:r>
          </w:p>
        </w:tc>
      </w:tr>
      <w:tr w:rsidR="005931E4" w14:paraId="71C3268A" w14:textId="77777777" w:rsidTr="0059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ECDAF46" w14:textId="77777777" w:rsidR="005931E4" w:rsidRDefault="00000000">
            <w:r>
              <w:t>EBITDA</w:t>
            </w:r>
          </w:p>
        </w:tc>
        <w:tc>
          <w:tcPr>
            <w:tcW w:w="4752" w:type="dxa"/>
          </w:tcPr>
          <w:p w14:paraId="03C9DA2A" w14:textId="77777777" w:rsidR="00593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-0,1171</w:t>
            </w:r>
          </w:p>
        </w:tc>
      </w:tr>
      <w:tr w:rsidR="005931E4" w14:paraId="477F3370" w14:textId="77777777" w:rsidTr="005931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66AA7F8E" w14:textId="77777777" w:rsidR="005931E4" w:rsidRDefault="00000000">
            <w:r>
              <w:t>Passivo Circulante</w:t>
            </w:r>
          </w:p>
        </w:tc>
        <w:tc>
          <w:tcPr>
            <w:tcW w:w="4752" w:type="dxa"/>
          </w:tcPr>
          <w:p w14:paraId="35EC5B81" w14:textId="77777777" w:rsidR="00593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-0,0057</w:t>
            </w:r>
          </w:p>
        </w:tc>
      </w:tr>
      <w:tr w:rsidR="005931E4" w14:paraId="2B632457" w14:textId="77777777" w:rsidTr="0059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75E525C7" w14:textId="77777777" w:rsidR="005931E4" w:rsidRDefault="00000000">
            <w:r>
              <w:t>Ativo Circulante</w:t>
            </w:r>
          </w:p>
        </w:tc>
        <w:tc>
          <w:tcPr>
            <w:tcW w:w="4752" w:type="dxa"/>
          </w:tcPr>
          <w:p w14:paraId="72E7382E" w14:textId="77777777" w:rsidR="00593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1,0407</w:t>
            </w:r>
          </w:p>
        </w:tc>
      </w:tr>
    </w:tbl>
    <w:p w14:paraId="1575D92D" w14:textId="77777777" w:rsidR="005931E4" w:rsidRDefault="005931E4"/>
    <w:p w14:paraId="65195655" w14:textId="77777777" w:rsidR="005931E4" w:rsidRDefault="00000000">
      <w:r>
        <w:t>Receita: mantidas constantes as demais variáveis, um aumento de R$ 1 bilhão nesse indicador está associado a uma elevação estimada de R$ 0.2528 bilhão no saldo final. O sinal é condicional às outras variáveis e não deve ser interpretado causalmente.</w:t>
      </w:r>
    </w:p>
    <w:p w14:paraId="1811E38E" w14:textId="77777777" w:rsidR="005931E4" w:rsidRDefault="00000000">
      <w:r>
        <w:t>EBITDA: mantidas constantes as demais variáveis, um aumento de R$ 1 bilhão nesse indicador está associado a uma redução estimada de R$ 0.1171 bilhão no saldo final. O sinal é condicional às outras variáveis e não deve ser interpretado causalmente.</w:t>
      </w:r>
    </w:p>
    <w:p w14:paraId="01538EEA" w14:textId="77777777" w:rsidR="005931E4" w:rsidRDefault="00000000">
      <w:r>
        <w:t>Passivo Circulante: mantidas constantes as demais variáveis, um aumento de R$ 1 bilhão nesse indicador está associado a uma redução estimada de R$ 0.0057 bilhão no saldo final. O sinal é condicional às outras variáveis e não deve ser interpretado causalmente.</w:t>
      </w:r>
    </w:p>
    <w:p w14:paraId="7D9E4FB1" w14:textId="77777777" w:rsidR="005931E4" w:rsidRDefault="00000000">
      <w:r>
        <w:lastRenderedPageBreak/>
        <w:t>Ativo Circulante: mantidas constantes as demais variáveis, um aumento de R$ 1 bilhão nesse indicador está associado a uma elevação estimada de R$ 1.0407 bilhão no saldo final. O sinal é condicional às outras variáveis e não deve ser interpretado causalmente.</w:t>
      </w:r>
    </w:p>
    <w:p w14:paraId="3D642B58" w14:textId="77777777" w:rsidR="005931E4" w:rsidRDefault="00000000">
      <w:r>
        <w:t>O intercepto representa a estimativa quando todos os indicadores são zero, situação que pode não ocorrer na base. Coeficientes de sinais inesperados podem resultar de dependência entre contas e multicolinearidade.</w:t>
      </w:r>
    </w:p>
    <w:p w14:paraId="46DF9F84" w14:textId="77777777" w:rsidR="005931E4" w:rsidRPr="00EE7592" w:rsidRDefault="00000000">
      <w:pPr>
        <w:pStyle w:val="Ttulo1"/>
        <w:rPr>
          <w:sz w:val="36"/>
          <w:szCs w:val="36"/>
        </w:rPr>
      </w:pPr>
      <w:r w:rsidRPr="00EE7592">
        <w:rPr>
          <w:sz w:val="36"/>
          <w:szCs w:val="36"/>
        </w:rPr>
        <w:t xml:space="preserve">6. </w:t>
      </w:r>
      <w:proofErr w:type="spellStart"/>
      <w:r w:rsidRPr="00EE7592">
        <w:rPr>
          <w:sz w:val="36"/>
          <w:szCs w:val="36"/>
        </w:rPr>
        <w:t>Diagnósticos</w:t>
      </w:r>
      <w:proofErr w:type="spellEnd"/>
      <w:r w:rsidRPr="00EE7592">
        <w:rPr>
          <w:sz w:val="36"/>
          <w:szCs w:val="36"/>
        </w:rPr>
        <w:t xml:space="preserve"> do </w:t>
      </w:r>
      <w:proofErr w:type="spellStart"/>
      <w:r w:rsidRPr="00EE7592">
        <w:rPr>
          <w:sz w:val="36"/>
          <w:szCs w:val="36"/>
        </w:rPr>
        <w:t>modelo</w:t>
      </w:r>
      <w:proofErr w:type="spellEnd"/>
    </w:p>
    <w:p w14:paraId="0BF76EE9" w14:textId="77777777" w:rsidR="005931E4" w:rsidRDefault="00000000">
      <w:pPr>
        <w:jc w:val="center"/>
      </w:pPr>
      <w:r>
        <w:rPr>
          <w:noProof/>
        </w:rPr>
        <w:drawing>
          <wp:inline distT="0" distB="0" distL="0" distR="0" wp14:anchorId="5EE254BD" wp14:editId="2BD9CBB3">
            <wp:extent cx="5943600" cy="2334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orio_residu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98D" w14:textId="77777777" w:rsidR="00EE7592" w:rsidRDefault="00EE7592"/>
    <w:p w14:paraId="32136680" w14:textId="47FAEB64" w:rsidR="005931E4" w:rsidRDefault="00000000">
      <w:r>
        <w:t xml:space="preserve">A </w:t>
      </w:r>
      <w:proofErr w:type="spellStart"/>
      <w:r>
        <w:t>média</w:t>
      </w:r>
      <w:proofErr w:type="spellEnd"/>
      <w:r>
        <w:t xml:space="preserve"> dos </w:t>
      </w:r>
      <w:proofErr w:type="spellStart"/>
      <w:r>
        <w:t>resíduos</w:t>
      </w:r>
      <w:proofErr w:type="spellEnd"/>
      <w:r>
        <w:t xml:space="preserve"> no teste é 0,0010 bilhão e seu desvio-padrão amostral é 0,0642 bilhão. O gráfico de resíduos permite inspecionar padrões, heterocedasticidade e valores atípicos; o histograma permite avaliar visualmente assimetria e desvios de normalidade. Esses gráficos são diagnósticos exploratórios e não substituem testes formais.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5931E4" w14:paraId="5A50A14E" w14:textId="77777777" w:rsidTr="00593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2D5016F1" w14:textId="77777777" w:rsidR="005931E4" w:rsidRDefault="00000000">
            <w:r>
              <w:t>Variável</w:t>
            </w:r>
          </w:p>
        </w:tc>
        <w:tc>
          <w:tcPr>
            <w:tcW w:w="4752" w:type="dxa"/>
          </w:tcPr>
          <w:p w14:paraId="748CD83D" w14:textId="77777777" w:rsidR="005931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VIF</w:t>
            </w:r>
          </w:p>
        </w:tc>
      </w:tr>
      <w:tr w:rsidR="005931E4" w14:paraId="188308B1" w14:textId="77777777" w:rsidTr="0059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624924FF" w14:textId="77777777" w:rsidR="005931E4" w:rsidRDefault="00000000">
            <w:r>
              <w:t>Receita</w:t>
            </w:r>
          </w:p>
        </w:tc>
        <w:tc>
          <w:tcPr>
            <w:tcW w:w="4752" w:type="dxa"/>
          </w:tcPr>
          <w:p w14:paraId="2B1D278D" w14:textId="77777777" w:rsidR="00593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430,5079</w:t>
            </w:r>
          </w:p>
        </w:tc>
      </w:tr>
      <w:tr w:rsidR="005931E4" w14:paraId="58CEAA80" w14:textId="77777777" w:rsidTr="005931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75F1382D" w14:textId="77777777" w:rsidR="005931E4" w:rsidRDefault="00000000">
            <w:r>
              <w:t>EBITDA</w:t>
            </w:r>
          </w:p>
        </w:tc>
        <w:tc>
          <w:tcPr>
            <w:tcW w:w="4752" w:type="dxa"/>
          </w:tcPr>
          <w:p w14:paraId="42051A4C" w14:textId="77777777" w:rsidR="00593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394,1266</w:t>
            </w:r>
          </w:p>
        </w:tc>
      </w:tr>
      <w:tr w:rsidR="005931E4" w14:paraId="3164D377" w14:textId="77777777" w:rsidTr="0059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B6FE8FD" w14:textId="77777777" w:rsidR="005931E4" w:rsidRDefault="00000000">
            <w:r>
              <w:t>Passivo Circulante</w:t>
            </w:r>
          </w:p>
        </w:tc>
        <w:tc>
          <w:tcPr>
            <w:tcW w:w="4752" w:type="dxa"/>
          </w:tcPr>
          <w:p w14:paraId="5F49E862" w14:textId="77777777" w:rsidR="00593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6,2335</w:t>
            </w:r>
          </w:p>
        </w:tc>
      </w:tr>
      <w:tr w:rsidR="005931E4" w14:paraId="55F51048" w14:textId="77777777" w:rsidTr="005931E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14:paraId="04114A3C" w14:textId="77777777" w:rsidR="005931E4" w:rsidRDefault="00000000">
            <w:r>
              <w:t>Ativo Circulante</w:t>
            </w:r>
          </w:p>
        </w:tc>
        <w:tc>
          <w:tcPr>
            <w:tcW w:w="4752" w:type="dxa"/>
          </w:tcPr>
          <w:p w14:paraId="265996A5" w14:textId="77777777" w:rsidR="00593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2,7727</w:t>
            </w:r>
          </w:p>
        </w:tc>
      </w:tr>
    </w:tbl>
    <w:p w14:paraId="357E79EA" w14:textId="77777777" w:rsidR="005931E4" w:rsidRDefault="005931E4"/>
    <w:p w14:paraId="5017E517" w14:textId="77777777" w:rsidR="005931E4" w:rsidRDefault="00000000">
      <w:r>
        <w:t>O fator de inflação da variância (VIF) quantifica a redundância linear entre variáveis explicativas. Valores acima de 5 sugerem atenção e acima de 10 são frequentemente tratados como alerta forte, sem constituir regras universais.</w:t>
      </w:r>
    </w:p>
    <w:p w14:paraId="3FBC9074" w14:textId="77777777" w:rsidR="005931E4" w:rsidRPr="00EE7592" w:rsidRDefault="00000000">
      <w:pPr>
        <w:pStyle w:val="Ttulo1"/>
        <w:rPr>
          <w:sz w:val="36"/>
          <w:szCs w:val="36"/>
        </w:rPr>
      </w:pPr>
      <w:r w:rsidRPr="00EE7592">
        <w:rPr>
          <w:sz w:val="36"/>
          <w:szCs w:val="36"/>
        </w:rPr>
        <w:lastRenderedPageBreak/>
        <w:t>7. Comparação por ano</w:t>
      </w:r>
    </w:p>
    <w:p w14:paraId="3FFE7799" w14:textId="77777777" w:rsidR="005931E4" w:rsidRDefault="00000000">
      <w:pPr>
        <w:jc w:val="center"/>
      </w:pPr>
      <w:r>
        <w:rPr>
          <w:noProof/>
        </w:rPr>
        <w:drawing>
          <wp:inline distT="0" distB="0" distL="0" distR="0" wp14:anchorId="5D68613A" wp14:editId="0866C7B0">
            <wp:extent cx="5852160" cy="30572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orio_an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5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1109" w14:textId="77777777" w:rsidR="005931E4" w:rsidRDefault="00000000">
      <w:pPr>
        <w:jc w:val="center"/>
      </w:pPr>
      <w:r>
        <w:rPr>
          <w:i/>
          <w:sz w:val="18"/>
        </w:rPr>
        <w:t>Figura 4 — Saldo final médio real e estimado por ano, apenas nos cenários de teste.</w:t>
      </w:r>
    </w:p>
    <w:p w14:paraId="2E7D41B0" w14:textId="77777777" w:rsidR="005931E4" w:rsidRDefault="00000000">
      <w:r>
        <w:t>As médias por ano ajudam a comparar tendências agregadas, mas podem ocultar erros individuais. Como o treino e o teste compartilham os mesmos anos, a comparação não é uma validação de previsão temporal.</w:t>
      </w:r>
    </w:p>
    <w:p w14:paraId="164DD85A" w14:textId="77777777" w:rsidR="005931E4" w:rsidRPr="00EE7592" w:rsidRDefault="00000000">
      <w:pPr>
        <w:pStyle w:val="Ttulo1"/>
        <w:rPr>
          <w:sz w:val="36"/>
          <w:szCs w:val="36"/>
        </w:rPr>
      </w:pPr>
      <w:r w:rsidRPr="00EE7592">
        <w:rPr>
          <w:sz w:val="36"/>
          <w:szCs w:val="36"/>
        </w:rPr>
        <w:t>8. Limitações</w:t>
      </w:r>
    </w:p>
    <w:p w14:paraId="4371BF40" w14:textId="77777777" w:rsidR="005931E4" w:rsidRDefault="00000000">
      <w:r>
        <w:t>Os dados financeiros podem conter identidades contábeis e dependência entre indicadores; isso pode elevar artificialmente a qualidade aparente do ajuste. Observações de anos sucessivos dentro do mesmo cenário podem ser autocorrelacionadas. A divisão por cenário reduz vazamento entre cenários, mas não avalia extrapolação para anos futuros. Os sinais contábeis (especialmente passivos), a seleção das contas e a eventual duplicidade de lançamentos precisam ser verificados. Não foram estabelecidas relações causais nem testada estabilidade sob mudanças econômicas.</w:t>
      </w:r>
    </w:p>
    <w:p w14:paraId="7DC2C9D2" w14:textId="77777777" w:rsidR="005931E4" w:rsidRPr="00EE7592" w:rsidRDefault="00000000">
      <w:pPr>
        <w:pStyle w:val="Ttulo1"/>
        <w:rPr>
          <w:sz w:val="36"/>
          <w:szCs w:val="36"/>
        </w:rPr>
      </w:pPr>
      <w:r w:rsidRPr="00EE7592">
        <w:rPr>
          <w:sz w:val="36"/>
          <w:szCs w:val="36"/>
        </w:rPr>
        <w:t xml:space="preserve">9. </w:t>
      </w:r>
      <w:proofErr w:type="spellStart"/>
      <w:r w:rsidRPr="00EE7592">
        <w:rPr>
          <w:sz w:val="36"/>
          <w:szCs w:val="36"/>
        </w:rPr>
        <w:t>Conclusão</w:t>
      </w:r>
      <w:proofErr w:type="spellEnd"/>
    </w:p>
    <w:p w14:paraId="34C579BF" w14:textId="77777777" w:rsidR="005931E4" w:rsidRDefault="00000000">
      <w:r>
        <w:t>O modelo de regressão linear múltipla apresentou R² de teste de 0,9941 e MAE de R$ 0,0519 bilhão na base analisada. O ajuste é útil para explorar associações entre indicadores e apoiar a leitura do dashboard financeiro. Seu uso para previsão de períodos futuros exigiria validação temporal, revisão de premissas contábeis e monitoramento da estabilidade dos coeficientes.</w:t>
      </w:r>
    </w:p>
    <w:p w14:paraId="16DC62FD" w14:textId="77777777" w:rsidR="005931E4" w:rsidRDefault="00000000">
      <w:pPr>
        <w:pStyle w:val="Ttulo1"/>
      </w:pPr>
      <w:r>
        <w:t xml:space="preserve">Fonte e </w:t>
      </w:r>
      <w:proofErr w:type="spellStart"/>
      <w:r>
        <w:t>reprodutibilidade</w:t>
      </w:r>
      <w:proofErr w:type="spellEnd"/>
    </w:p>
    <w:p w14:paraId="1FCE4C25" w14:textId="77777777" w:rsidR="005931E4" w:rsidRDefault="00000000">
      <w:r>
        <w:t xml:space="preserve">Fonte: </w:t>
      </w:r>
      <w:proofErr w:type="spellStart"/>
      <w:r>
        <w:t>arquivo</w:t>
      </w:r>
      <w:proofErr w:type="spellEnd"/>
      <w:r>
        <w:t xml:space="preserve"> </w:t>
      </w:r>
      <w:proofErr w:type="gramStart"/>
      <w:r>
        <w:t>Demonstrativo(</w:t>
      </w:r>
      <w:proofErr w:type="gramEnd"/>
      <w:r>
        <w:t>2).csv e base_regressao.csv fornecidos na conversa. Regressão linear com scikit-learn; gráficos com Matplotlib/Seaborn. Resultados recalculados a partir da base_regressao.csv; os nomes das contas e valores devem ser conciliados com a base original antes da entrega definitiva.</w:t>
      </w:r>
    </w:p>
    <w:sectPr w:rsidR="005931E4" w:rsidSect="00034616">
      <w:footerReference w:type="default" r:id="rId12"/>
      <w:pgSz w:w="12240" w:h="15840"/>
      <w:pgMar w:top="1224" w:right="1368" w:bottom="1152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D764E" w14:textId="77777777" w:rsidR="00464488" w:rsidRDefault="00464488">
      <w:pPr>
        <w:spacing w:after="0" w:line="240" w:lineRule="auto"/>
      </w:pPr>
      <w:r>
        <w:separator/>
      </w:r>
    </w:p>
  </w:endnote>
  <w:endnote w:type="continuationSeparator" w:id="0">
    <w:p w14:paraId="3305BFB5" w14:textId="77777777" w:rsidR="00464488" w:rsidRDefault="0046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B6963" w14:textId="2A1E8F3F" w:rsidR="005931E4" w:rsidRDefault="005931E4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68A51" w14:textId="77777777" w:rsidR="00464488" w:rsidRDefault="00464488">
      <w:pPr>
        <w:spacing w:after="0" w:line="240" w:lineRule="auto"/>
      </w:pPr>
      <w:r>
        <w:separator/>
      </w:r>
    </w:p>
  </w:footnote>
  <w:footnote w:type="continuationSeparator" w:id="0">
    <w:p w14:paraId="0966466A" w14:textId="77777777" w:rsidR="00464488" w:rsidRDefault="00464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321016">
    <w:abstractNumId w:val="8"/>
  </w:num>
  <w:num w:numId="2" w16cid:durableId="1143305782">
    <w:abstractNumId w:val="6"/>
  </w:num>
  <w:num w:numId="3" w16cid:durableId="787628234">
    <w:abstractNumId w:val="5"/>
  </w:num>
  <w:num w:numId="4" w16cid:durableId="1444954873">
    <w:abstractNumId w:val="4"/>
  </w:num>
  <w:num w:numId="5" w16cid:durableId="604310939">
    <w:abstractNumId w:val="7"/>
  </w:num>
  <w:num w:numId="6" w16cid:durableId="417293931">
    <w:abstractNumId w:val="3"/>
  </w:num>
  <w:num w:numId="7" w16cid:durableId="127554940">
    <w:abstractNumId w:val="2"/>
  </w:num>
  <w:num w:numId="8" w16cid:durableId="1617978965">
    <w:abstractNumId w:val="1"/>
  </w:num>
  <w:num w:numId="9" w16cid:durableId="132338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4488"/>
    <w:rsid w:val="005931E4"/>
    <w:rsid w:val="006A1019"/>
    <w:rsid w:val="00AA1D8D"/>
    <w:rsid w:val="00B47730"/>
    <w:rsid w:val="00C659C8"/>
    <w:rsid w:val="00CB0664"/>
    <w:rsid w:val="00EE75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3778D2"/>
  <w14:defaultImageDpi w14:val="300"/>
  <w15:docId w15:val="{6FB3BA90-2EB3-432B-9823-1DD9C81B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901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 Hsiang Chien</cp:lastModifiedBy>
  <cp:revision>2</cp:revision>
  <dcterms:created xsi:type="dcterms:W3CDTF">2026-10-16T00:59:00Z</dcterms:created>
  <dcterms:modified xsi:type="dcterms:W3CDTF">2026-10-16T00:59:00Z</dcterms:modified>
  <cp:category/>
</cp:coreProperties>
</file>