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46"/>
          <w:szCs w:val="46"/>
        </w:rPr>
      </w:pPr>
      <w:bookmarkStart w:colFirst="0" w:colLast="0" w:name="_cmcauwrzce6u" w:id="0"/>
      <w:bookmarkEnd w:id="0"/>
      <w:r w:rsidDel="00000000" w:rsidR="00000000" w:rsidRPr="00000000">
        <w:rPr>
          <w:rFonts w:ascii="Inter" w:cs="Inter" w:eastAsia="Inter" w:hAnsi="Inter"/>
          <w:color w:val="334155"/>
          <w:sz w:val="46"/>
          <w:szCs w:val="46"/>
          <w:rtl w:val="0"/>
        </w:rPr>
        <w:t xml:space="preserve">Documentação Técnica — Dashboard Financeiro CTI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Interdisciplinar de Ciência de Dados — Entrega 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Revisão documental:</w:t>
      </w:r>
      <w:r w:rsidDel="00000000" w:rsidR="00000000" w:rsidRPr="00000000">
        <w:rPr>
          <w:rtl w:val="0"/>
        </w:rPr>
        <w:t xml:space="preserve"> 13 de outubro de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arquitetura, dados, indicadores, publicação e limitações da implementação presente no repositório.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descreve o sistema implementado, distinguindo funcionalidades ativas, recursos de integração disponíveis e propostas de evolução. As referências ao código são relativas à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PI4/</w:t>
      </w:r>
      <w:r w:rsidDel="00000000" w:rsidR="00000000" w:rsidRPr="00000000">
        <w:rPr>
          <w:rtl w:val="0"/>
        </w:rPr>
        <w:t xml:space="preserve">. As condições dos provedores foram consultadas na data desta revisão; a existência de um blueprint não comprova que os serviços estejam publicados ou operacionais.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tvgbsygaz7om" w:id="1"/>
      <w:bookmarkEnd w:id="1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1. Visão geral e arquitetura do sistema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b7thq79vpoh9" w:id="2"/>
      <w:bookmarkEnd w:id="2"/>
      <w:r w:rsidDel="00000000" w:rsidR="00000000" w:rsidRPr="00000000">
        <w:rPr>
          <w:rFonts w:ascii="Inter" w:cs="Inter" w:eastAsia="Inter" w:hAnsi="Inter"/>
          <w:rtl w:val="0"/>
        </w:rPr>
        <w:t xml:space="preserve">1.1. Objetivo e contexto analítico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Dashboard Financeiro CTI permite explorar cenários de planejamento econômico-financeiro de uma concessão de infraestrutura. O painel articula demonstrações de resultado, balanço patrimonial e fluxo de caixa, com filtros de cenário e ano e visões destinadas a CEO, CFO, acionistas e Poder Concedente.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representa trajetórias simuladas em um horizonte de 12 anos. Os resultados devem ser interpretados como análise de cenários, sem assumir que correspondam a demonstrações históricas auditadas.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gh6oz96bd4rg" w:id="3"/>
      <w:bookmarkEnd w:id="3"/>
      <w:r w:rsidDel="00000000" w:rsidR="00000000" w:rsidRPr="00000000">
        <w:rPr>
          <w:rFonts w:ascii="Inter" w:cs="Inter" w:eastAsia="Inter" w:hAnsi="Inter"/>
          <w:rtl w:val="0"/>
        </w:rPr>
        <w:t xml:space="preserve">1.2. Separação de responsabilidades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(Streamlit — Frontend/app.py):</w:t>
      </w:r>
      <w:r w:rsidDel="00000000" w:rsidR="00000000" w:rsidRPr="00000000">
        <w:rPr>
          <w:rtl w:val="0"/>
        </w:rPr>
        <w:t xml:space="preserve"> Sessão visual, filtros, gráficos, seleção de perfis e download de relatórios.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Cliente HTTP (Frontend/src/models/api_client.py):</w:t>
      </w:r>
      <w:r w:rsidDel="00000000" w:rsidR="00000000" w:rsidRPr="00000000">
        <w:rPr>
          <w:rtl w:val="0"/>
        </w:rPr>
        <w:t xml:space="preserve"> Comunicação com a API, tratamento de respostas HTTP, timeout e indisponibilidade.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(FastAPI — Backend/main.py):</w:t>
      </w:r>
      <w:r w:rsidDel="00000000" w:rsidR="00000000" w:rsidRPr="00000000">
        <w:rPr>
          <w:rtl w:val="0"/>
        </w:rPr>
        <w:t xml:space="preserve"> Rotas de autenticação, usuários, saúde, chat e e-mail.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Serviços analíticos (Backend/services/ e Backend/metrics/):</w:t>
      </w:r>
      <w:r w:rsidDel="00000000" w:rsidR="00000000" w:rsidRPr="00000000">
        <w:rPr>
          <w:rtl w:val="0"/>
        </w:rPr>
        <w:t xml:space="preserve"> Preparação dos dados, indicadores, rankings, risco e geração de relatórios.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Acesso a dados (Backend/data_loader/ e Backend/db/):</w:t>
      </w:r>
      <w:r w:rsidDel="00000000" w:rsidR="00000000" w:rsidRPr="00000000">
        <w:rPr>
          <w:rtl w:val="0"/>
        </w:rPr>
        <w:t xml:space="preserve"> CSV/Parquet, recursos PostgreSQL e persistência de usuários/logs.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Assistente (Chat e RAG):</w:t>
      </w:r>
      <w:r w:rsidDel="00000000" w:rsidR="00000000" w:rsidRPr="00000000">
        <w:rPr>
          <w:rtl w:val="0"/>
        </w:rPr>
        <w:t xml:space="preserve"> Recuperação de documentos e respostas apoiadas no contexto financeiro.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6t2gjtvtr3a0" w:id="4"/>
      <w:bookmarkEnd w:id="4"/>
      <w:r w:rsidDel="00000000" w:rsidR="00000000" w:rsidRPr="00000000">
        <w:rPr>
          <w:rFonts w:ascii="Inter" w:cs="Inter" w:eastAsia="Inter" w:hAnsi="Inter"/>
          <w:rtl w:val="0"/>
        </w:rPr>
        <w:t xml:space="preserve">1.3. Infraestrutura de publicação na Render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está estruturado em dois serviços independentes na Render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cti-api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cti-frontend</w:t>
      </w:r>
      <w:r w:rsidDel="00000000" w:rsidR="00000000" w:rsidRPr="00000000">
        <w:rPr>
          <w:rtl w:val="0"/>
        </w:rPr>
        <w:t xml:space="preserve">), ambos utilizando o diretório raiz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PI4/</w:t>
      </w:r>
      <w:r w:rsidDel="00000000" w:rsidR="00000000" w:rsidRPr="00000000">
        <w:rPr>
          <w:rtl w:val="0"/>
        </w:rPr>
        <w:t xml:space="preserve"> para preservar o acesso aos módulos compartilhados e arquivos de cache.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🌐 Aplicação Publicada na Nuvem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do Dashboard: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https://esc-semestre4-pi.onrender.com/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3570"/>
        <w:gridCol w:w="1110"/>
        <w:gridCol w:w="2205"/>
        <w:tblGridChange w:id="0">
          <w:tblGrid>
            <w:gridCol w:w="1905"/>
            <w:gridCol w:w="3570"/>
            <w:gridCol w:w="1110"/>
            <w:gridCol w:w="22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Abas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Poder Concedente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poderconcedente@gmail.com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Poder Concedente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Acionistas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acionistas@gmail.com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Acionistas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cfo@gmail.com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CFO, Acionistas, Poder Concedente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ceo@gmail.com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123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Todas as quatro abas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gh6ivd4akkwt" w:id="5"/>
      <w:bookmarkEnd w:id="5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2. Origem e pipeline de dados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3mino7vrzgq9" w:id="6"/>
      <w:bookmarkEnd w:id="6"/>
      <w:r w:rsidDel="00000000" w:rsidR="00000000" w:rsidRPr="00000000">
        <w:rPr>
          <w:rFonts w:ascii="Inter" w:cs="Inter" w:eastAsia="Inter" w:hAnsi="Inter"/>
          <w:rtl w:val="0"/>
        </w:rPr>
        <w:t xml:space="preserve">2.1. Fonte primária: Cti.csv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Cti.csv</w:t>
      </w:r>
      <w:r w:rsidDel="00000000" w:rsidR="00000000" w:rsidRPr="00000000">
        <w:rPr>
          <w:rtl w:val="0"/>
        </w:rPr>
        <w:t xml:space="preserve"> armazena contas financeiras em formato longo (período, cenário, conta e valor). Os dados passam por um pipeline de limpeza, conversão de notação numérica e compactação em formato Parquet para ganho de performance analítica em runtime.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vpsbs6dongc1" w:id="7"/>
      <w:bookmarkEnd w:id="7"/>
      <w:r w:rsidDel="00000000" w:rsidR="00000000" w:rsidRPr="00000000">
        <w:rPr>
          <w:rFonts w:ascii="Inter" w:cs="Inter" w:eastAsia="Inter" w:hAnsi="Inter"/>
          <w:rtl w:val="0"/>
        </w:rPr>
        <w:t xml:space="preserve">2.2. Resiliência e fallback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o plano gratuito da Render opera restrições de rede que impedem o acesso direto ao banco Supabase via IPv6, a aplicação conta com um mecanismo de fallback resiliente que lê os dados a partir de arquivos locais otimizados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.parquet</w:t>
      </w:r>
      <w:r w:rsidDel="00000000" w:rsidR="00000000" w:rsidRPr="00000000">
        <w:rPr>
          <w:rtl w:val="0"/>
        </w:rPr>
        <w:t xml:space="preserve"> / CSV), garantindo a estabilidade e disponibilidade contínua do dashboard.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kx925gk4f5xa" w:id="8"/>
      <w:bookmarkEnd w:id="8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3. Dicionário de indicadores e fórmulas matemáticas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dhrzg6dklcsv" w:id="9"/>
      <w:bookmarkEnd w:id="9"/>
      <w:r w:rsidDel="00000000" w:rsidR="00000000" w:rsidRPr="00000000">
        <w:rPr>
          <w:rFonts w:ascii="Inter" w:cs="Inter" w:eastAsia="Inter" w:hAnsi="Inter"/>
          <w:rtl w:val="0"/>
        </w:rPr>
        <w:t xml:space="preserve">3.1. Receita Líquida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Calculada somando a receita bruta aos tributos incidentes sobre o faturamento (considerando o sinal contábil redutor dos impostos).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aawk9ajsekze" w:id="10"/>
      <w:bookmarkEnd w:id="10"/>
      <w:r w:rsidDel="00000000" w:rsidR="00000000" w:rsidRPr="00000000">
        <w:rPr>
          <w:rFonts w:ascii="Inter" w:cs="Inter" w:eastAsia="Inter" w:hAnsi="Inter"/>
          <w:rtl w:val="0"/>
        </w:rPr>
        <w:t xml:space="preserve">3.2. EBITDA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antes de juros, impostos, depreciação e amortização, obtido diretamente das rubricas contábeis da DRE para mensurar a geração operacional de caixa.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70ah0i30ckdr" w:id="11"/>
      <w:bookmarkEnd w:id="11"/>
      <w:r w:rsidDel="00000000" w:rsidR="00000000" w:rsidRPr="00000000">
        <w:rPr>
          <w:rFonts w:ascii="Inter" w:cs="Inter" w:eastAsia="Inter" w:hAnsi="Inter"/>
          <w:rtl w:val="0"/>
        </w:rPr>
        <w:t xml:space="preserve">3.3. EBIT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operacional obtido após os efeitos de depreciação e amortização, refletindo o lucro operacional puro antes do resultado financeiro e tributário.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1vu6rzyu0ggp" w:id="12"/>
      <w:bookmarkEnd w:id="12"/>
      <w:r w:rsidDel="00000000" w:rsidR="00000000" w:rsidRPr="00000000">
        <w:rPr>
          <w:rFonts w:ascii="Inter" w:cs="Inter" w:eastAsia="Inter" w:hAnsi="Inter"/>
          <w:rtl w:val="0"/>
        </w:rPr>
        <w:t xml:space="preserve">3.4. Lucro Líquido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 final do período após a dedução do resultado financeiro e dos tributos sobre o lucro.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h34yye21i49e" w:id="13"/>
      <w:bookmarkEnd w:id="13"/>
      <w:r w:rsidDel="00000000" w:rsidR="00000000" w:rsidRPr="00000000">
        <w:rPr>
          <w:rFonts w:ascii="Inter" w:cs="Inter" w:eastAsia="Inter" w:hAnsi="Inter"/>
          <w:rtl w:val="0"/>
        </w:rPr>
        <w:t xml:space="preserve">3.5. Ponto de Equilíbrio (Break-Even)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Receita necessária para cobrir os custos e despesas fixas através da margem de contribuição gerada pela operação.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5knlmxdjplg7" w:id="14"/>
      <w:bookmarkEnd w:id="14"/>
      <w:r w:rsidDel="00000000" w:rsidR="00000000" w:rsidRPr="00000000">
        <w:rPr>
          <w:rFonts w:ascii="Inter" w:cs="Inter" w:eastAsia="Inter" w:hAnsi="Inter"/>
          <w:rtl w:val="0"/>
        </w:rPr>
        <w:t xml:space="preserve">3.6. Margem de Segurança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Métrica que indica a distância percentual entre a receita realizada e o ponto de equilíbrio operacional.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300" w:lineRule="auto"/>
        <w:rPr>
          <w:rFonts w:ascii="Inter" w:cs="Inter" w:eastAsia="Inter" w:hAnsi="Inter"/>
        </w:rPr>
      </w:pPr>
      <w:bookmarkStart w:colFirst="0" w:colLast="0" w:name="_if5jwlqxsnm" w:id="15"/>
      <w:bookmarkEnd w:id="15"/>
      <w:r w:rsidDel="00000000" w:rsidR="00000000" w:rsidRPr="00000000">
        <w:rPr>
          <w:rFonts w:ascii="Inter" w:cs="Inter" w:eastAsia="Inter" w:hAnsi="Inter"/>
          <w:rtl w:val="0"/>
        </w:rPr>
        <w:t xml:space="preserve">3.7. Eficiência Comercial (LTV / CAC)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Relação entre o valor do ciclo de vida do cliente (LTV) e o custo de aquisição (CAC), utilizada para avaliar a sustentabilidade e eficiência dos investimentos em vendas e marketing.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zc1o13tzugd2" w:id="16"/>
      <w:bookmarkEnd w:id="16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4. Limitações técnicas e decisões de arquitetura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Conectividade de Rede (IPv6):</w:t>
      </w:r>
      <w:r w:rsidDel="00000000" w:rsidR="00000000" w:rsidRPr="00000000">
        <w:rPr>
          <w:rtl w:val="0"/>
        </w:rPr>
        <w:t xml:space="preserve"> Restrições de infraestrutura da nuvem gratuita exigem o uso de dados locais (fallback), isolando a aplicação de falhas externas de DNS/rede.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Envio de E-mails (SMTP):</w:t>
      </w:r>
      <w:r w:rsidDel="00000000" w:rsidR="00000000" w:rsidRPr="00000000">
        <w:rPr>
          <w:rtl w:val="0"/>
        </w:rPr>
        <w:t xml:space="preserve"> Portas de e-mail externas (como a porta 587 do Gmail) são bloqueadas em servidores gratuitos de nuvem, sendo tratadas via diagnósticos estruturados de exceção no código.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Discos Efêmeros:</w:t>
      </w:r>
      <w:r w:rsidDel="00000000" w:rsidR="00000000" w:rsidRPr="00000000">
        <w:rPr>
          <w:rtl w:val="0"/>
        </w:rPr>
        <w:t xml:space="preserve"> A infraestrutura de hospedagem utiliza discos voláteis, o que reforça a necessidade de precomputação de dados durante o build dos serviços.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line="300" w:lineRule="auto"/>
        <w:rPr>
          <w:rFonts w:ascii="Inter" w:cs="Inter" w:eastAsia="Inter" w:hAnsi="Inter"/>
          <w:color w:val="334155"/>
          <w:sz w:val="34"/>
          <w:szCs w:val="34"/>
        </w:rPr>
      </w:pPr>
      <w:bookmarkStart w:colFirst="0" w:colLast="0" w:name="_hw1bx5t2zs1m" w:id="17"/>
      <w:bookmarkEnd w:id="17"/>
      <w:r w:rsidDel="00000000" w:rsidR="00000000" w:rsidRPr="00000000">
        <w:rPr>
          <w:rFonts w:ascii="Inter" w:cs="Inter" w:eastAsia="Inter" w:hAnsi="Inter"/>
          <w:color w:val="334155"/>
          <w:sz w:val="34"/>
          <w:szCs w:val="34"/>
          <w:rtl w:val="0"/>
        </w:rPr>
        <w:t xml:space="preserve">5. Reprodução e verificação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Instruções rápidas para execução local: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Backend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PI4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py -m pip install -r Backend/requirements.txt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-m uvicorn Backend.main:app --host 127.0.0.1 --port 8000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Frontend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PI4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py -m pip install -r Frontend/requirements_dashboard.txt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 -m streamlit run Frontend/app.py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0"/>
      <w:bCs w:val="0"/>
      <w:i w:val="0"/>
      <w:iCs w:val="0"/>
      <w:color w:val="47556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sc-semestre4-pi.onrender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