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C0392B"/>
          <w:sz w:val="20"/>
        </w:rPr>
        <w:t>PLAN ESTRATÉGICO DE PERFORMANCE Y CRO</w:t>
      </w:r>
    </w:p>
    <w:p>
      <w:pPr>
        <w:spacing w:before="0" w:after="240"/>
      </w:pPr>
      <w:r>
        <w:rPr>
          <w:b/>
          <w:color w:val="1B365D"/>
          <w:sz w:val="44"/>
        </w:rPr>
        <w:t>Estrategia de Remarketing Secuencial para Recuperación de Carritos</w:t>
      </w:r>
    </w:p>
    <w:p>
      <w:pPr>
        <w:spacing w:after="400"/>
      </w:pPr>
      <w:r>
        <w:rPr>
          <w:i/>
          <w:color w:val="7F8C8D"/>
          <w:sz w:val="19"/>
        </w:rPr>
        <w:t>Rol: Director de Marketing Digital &amp; Especialista en Performance | Formato: Guía de Ejecución</w:t>
      </w:r>
    </w:p>
    <w:p>
      <w:pPr>
        <w:spacing w:after="320"/>
        <w:pBdr>
          <w:bottom w:val="single" w:sz="12" w:space="1" w:color="1B365D"/>
        </w:pBdr>
      </w:pPr>
    </w:p>
    <w:p>
      <w:pPr>
        <w:spacing w:before="240" w:after="160"/>
      </w:pPr>
      <w:r>
        <w:rPr>
          <w:b/>
          <w:color w:val="1B365D"/>
          <w:sz w:val="28"/>
        </w:rPr>
        <w:t>1. Configuración de Públicos y Exclusiones (Regla de Oro)</w:t>
      </w:r>
    </w:p>
    <w:p>
      <w:pPr>
        <w:spacing w:after="240"/>
      </w:pPr>
      <w:r>
        <w:t>Para evitar impactar al mismo usuario con diferentes mensajes a la vez y no malgastar presupuesto, la segmentación debe seguir una lógica estricta de exclusión de audiencias en ventana deslizante:</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Mar>
              <w:top w:w="100" w:type="dxa"/>
              <w:bottom w:w="100" w:type="dxa"/>
              <w:left w:w="120" w:type="dxa"/>
              <w:right w:w="120" w:type="dxa"/>
            </w:tcMar>
            <w:tcBorders>
              <w:top w:val="single" w:sz="4" w:space="0" w:color="E0E0E0"/>
              <w:left w:val="none"/>
              <w:bottom w:val="single" w:sz="4" w:space="0" w:color="E0E0E0"/>
              <w:right w:val="none"/>
            </w:tcBorders>
          </w:tcPr>
          <w:p>
            <w:pPr>
              <w:jc w:val="left"/>
            </w:pPr>
            <w:r>
              <w:rPr>
                <w:b/>
                <w:color w:val="FFFFFF"/>
                <w:sz w:val="20"/>
              </w:rPr>
              <w:t>Fase / Etapa</w:t>
            </w:r>
          </w:p>
        </w:tc>
        <w:tc>
          <w:tcPr>
            <w:tcW w:type="dxa" w:w="3312"/>
            <w:shd w:fill="1B365D"/>
            <w:tcMar>
              <w:top w:w="100" w:type="dxa"/>
              <w:bottom w:w="100" w:type="dxa"/>
              <w:left w:w="120" w:type="dxa"/>
              <w:right w:w="120" w:type="dxa"/>
            </w:tcMar>
            <w:tcBorders>
              <w:top w:val="single" w:sz="4" w:space="0" w:color="E0E0E0"/>
              <w:left w:val="none"/>
              <w:bottom w:val="single" w:sz="4" w:space="0" w:color="E0E0E0"/>
              <w:right w:val="none"/>
            </w:tcBorders>
          </w:tcPr>
          <w:p>
            <w:pPr>
              <w:jc w:val="left"/>
            </w:pPr>
            <w:r>
              <w:rPr>
                <w:b/>
                <w:color w:val="FFFFFF"/>
                <w:sz w:val="20"/>
              </w:rPr>
              <w:t>Incluir Público</w:t>
            </w:r>
          </w:p>
        </w:tc>
        <w:tc>
          <w:tcPr>
            <w:tcW w:type="dxa" w:w="3888"/>
            <w:shd w:fill="1B365D"/>
            <w:tcMar>
              <w:top w:w="100" w:type="dxa"/>
              <w:bottom w:w="100" w:type="dxa"/>
              <w:left w:w="120" w:type="dxa"/>
              <w:right w:w="120" w:type="dxa"/>
            </w:tcMar>
            <w:tcBorders>
              <w:top w:val="single" w:sz="4" w:space="0" w:color="E0E0E0"/>
              <w:left w:val="none"/>
              <w:bottom w:val="single" w:sz="4" w:space="0" w:color="E0E0E0"/>
              <w:right w:val="none"/>
            </w:tcBorders>
          </w:tcPr>
          <w:p>
            <w:pPr>
              <w:jc w:val="left"/>
            </w:pPr>
            <w:r>
              <w:rPr>
                <w:b/>
                <w:color w:val="FFFFFF"/>
                <w:sz w:val="20"/>
              </w:rPr>
              <w:t>Excluir Públicos (Obligatorio)</w:t>
            </w:r>
          </w:p>
        </w:tc>
      </w:tr>
      <w:tr>
        <w:tc>
          <w:tcPr>
            <w:tcW w:type="dxa" w:w="2160"/>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Día 1 (0–24h)</w:t>
            </w:r>
          </w:p>
        </w:tc>
        <w:tc>
          <w:tcPr>
            <w:tcW w:type="dxa" w:w="3312"/>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InitiateCheckout (Últimas 24h)</w:t>
            </w:r>
          </w:p>
        </w:tc>
        <w:tc>
          <w:tcPr>
            <w:tcW w:type="dxa" w:w="3888"/>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Purchase (Últimos 180 días)</w:t>
            </w:r>
          </w:p>
        </w:tc>
      </w:tr>
      <w:tr>
        <w:tc>
          <w:tcPr>
            <w:tcW w:type="dxa" w:w="2160"/>
            <w:shd w:fill="FFFFFF"/>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Día 3 (2–4 días)</w:t>
            </w:r>
          </w:p>
        </w:tc>
        <w:tc>
          <w:tcPr>
            <w:tcW w:type="dxa" w:w="3312"/>
            <w:shd w:fill="FFFFFF"/>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InitiateCheckout (Últimos 4 días)</w:t>
            </w:r>
          </w:p>
        </w:tc>
        <w:tc>
          <w:tcPr>
            <w:tcW w:type="dxa" w:w="3888"/>
            <w:shd w:fill="FFFFFF"/>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InitiateCheckout (Últimas 24h) + Purchase (180d)</w:t>
            </w:r>
          </w:p>
        </w:tc>
      </w:tr>
      <w:tr>
        <w:tc>
          <w:tcPr>
            <w:tcW w:type="dxa" w:w="2160"/>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Día 7 (5–7 días)</w:t>
            </w:r>
          </w:p>
        </w:tc>
        <w:tc>
          <w:tcPr>
            <w:tcW w:type="dxa" w:w="3312"/>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InitiateCheckout (Últimos 7 días)</w:t>
            </w:r>
          </w:p>
        </w:tc>
        <w:tc>
          <w:tcPr>
            <w:tcW w:type="dxa" w:w="3888"/>
            <w:shd w:fill="F8F9FA"/>
            <w:tcMar>
              <w:top w:w="80" w:type="dxa"/>
              <w:bottom w:w="80" w:type="dxa"/>
              <w:left w:w="120" w:type="dxa"/>
              <w:right w:w="120" w:type="dxa"/>
            </w:tcMar>
            <w:tcBorders>
              <w:top w:val="single" w:sz="4" w:space="0" w:color="E0E0E0"/>
              <w:left w:val="none"/>
              <w:bottom w:val="single" w:sz="4" w:space="0" w:color="E0E0E0"/>
              <w:right w:val="none"/>
            </w:tcBorders>
          </w:tcPr>
          <w:p>
            <w:r>
              <w:rPr>
                <w:color w:val="2C3E50"/>
                <w:sz w:val="19"/>
              </w:rPr>
              <w:t>InitiateCheckout (Últimos 4 días) + Purchase (180d)</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none"/>
              <w:left w:val="single" w:sz="24" w:space="0" w:color="C0392B"/>
              <w:bottom w:val="none"/>
              <w:right w:val="none"/>
            </w:tcBorders>
          </w:tcPr>
          <w:p>
            <w:pPr>
              <w:spacing w:before="0" w:after="80"/>
            </w:pPr>
            <w:r>
              <w:rPr>
                <w:b/>
                <w:color w:val="1B365D"/>
                <w:sz w:val="22"/>
              </w:rPr>
              <w:t>Nota técnica para venta asistida / WhatsApp:</w:t>
            </w:r>
          </w:p>
          <w:p>
            <w:pPr>
              <w:spacing w:before="0" w:after="0"/>
            </w:pPr>
            <w:r>
              <w:rPr>
                <w:color w:val="2C3E50"/>
                <w:sz w:val="20"/>
              </w:rPr>
              <w:t>Si el canal de destino final es WhatsApp o llamada directa en lugar de un checkout web, sustituye el evento 'InitiateCheckout' por la acción personalizada equivalente (ej. Lead, Click to WhatsApp o Contact).</w:t>
            </w:r>
          </w:p>
        </w:tc>
      </w:tr>
    </w:tbl>
    <w:p/>
    <w:p>
      <w:pPr>
        <w:spacing w:before="320" w:after="160"/>
      </w:pPr>
      <w:r>
        <w:rPr>
          <w:b/>
          <w:color w:val="1B365D"/>
          <w:sz w:val="28"/>
        </w:rPr>
        <w:t>2. Plan de Anuncios Secuenciales por Etapas</w:t>
      </w:r>
    </w:p>
    <w:p>
      <w:pPr>
        <w:spacing w:before="200" w:after="80"/>
      </w:pPr>
      <w:r>
        <w:rPr>
          <w:b/>
          <w:color w:val="C0392B"/>
          <w:sz w:val="24"/>
        </w:rPr>
        <w:t>Etapa 1: Día 1 (Horas 0 a 24) — Recordatorio y Reducción de Fricción</w:t>
      </w:r>
    </w:p>
    <w:p>
      <w:pPr>
        <w:spacing w:after="160"/>
      </w:pPr>
      <w:r>
        <w:rPr>
          <w:b/>
        </w:rPr>
        <w:t xml:space="preserve">• Enfoque táctico: </w:t>
      </w:r>
      <w:r>
        <w:t>Asumir distracción o interrupción temporal. No ofrecemos descuentos aún para cuidar la rentabilidad del negocio.</w:t>
        <w:br/>
      </w:r>
      <w:r>
        <w:rPr>
          <w:b/>
        </w:rPr>
        <w:t xml:space="preserve">• Formato ideal: </w:t>
      </w:r>
      <w:r>
        <w:t>Stories / Reels (9:16) y Feed (1:1 o 4:5) — Imagen limpia del producto guardado o video corto (3–5s) del producto empaquetándose.</w:t>
      </w:r>
    </w:p>
    <w:tbl>
      <w:tblPr>
        <w:tblW w:type="auto" w:w="0"/>
        <w:jc w:val="center"/>
        <w:tblLayout w:type="fixed"/>
        <w:tblLook w:firstColumn="1" w:firstRow="1" w:lastColumn="0" w:lastRow="0" w:noHBand="0" w:noVBand="1" w:val="04A0"/>
      </w:tblPr>
      <w:tblGrid>
        <w:gridCol w:w="4680"/>
        <w:gridCol w:w="4680"/>
      </w:tblGrid>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Hook Visual</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Imagen minimalista del producto con texto superpuesto: "¿Olvidaste algo en tu carrito?" o screenshot con marco simulado de orden pendiente.</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Texto Principal (Caption)</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Guardamos tus selecciones por tiempo limitado. Sabemos que el día se complica, así que te dejamos el camino listo para que retomes tu pedido en menos de 60 segundos. Tus artículos siguen reservados.</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Titular (Headline)</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Tu orden está lista para envío inmediato 🛒</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Botón (CTA)</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Completar compra / Finalizar pedido</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Ángulo de Conversión</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Urgencia suave, facilidad de proceso y recordatorio de valor sin fricción.</w:t>
            </w:r>
          </w:p>
        </w:tc>
      </w:tr>
    </w:tbl>
    <w:p>
      <w:pPr>
        <w:spacing w:after="160"/>
      </w:pPr>
    </w:p>
    <w:p>
      <w:pPr>
        <w:spacing w:before="200" w:after="80"/>
      </w:pPr>
      <w:r>
        <w:rPr>
          <w:b/>
          <w:color w:val="C0392B"/>
          <w:sz w:val="24"/>
        </w:rPr>
        <w:t>Etapa 2: Día 3 (Días 2 a 4) — Prueba Social y Superación de Objeciones</w:t>
      </w:r>
    </w:p>
    <w:p>
      <w:pPr>
        <w:spacing w:after="160"/>
      </w:pPr>
      <w:r>
        <w:rPr>
          <w:b/>
        </w:rPr>
        <w:t xml:space="preserve">• Enfoque táctico: </w:t>
      </w:r>
      <w:r>
        <w:t>Neutralizar objeciones de calidad, confianza, tiempo de entrega o garantías percibidas antes de la compra.</w:t>
        <w:br/>
      </w:r>
      <w:r>
        <w:rPr>
          <w:b/>
        </w:rPr>
        <w:t xml:space="preserve">• Formato ideal: </w:t>
      </w:r>
      <w:r>
        <w:t>Video UGC (User Generated Content) o Carrusel de Testimonios (1:1) — Opiniones de clientes reales usando el producto o un unboxing.</w:t>
      </w:r>
    </w:p>
    <w:tbl>
      <w:tblPr>
        <w:tblW w:type="auto" w:w="0"/>
        <w:jc w:val="center"/>
        <w:tblLayout w:type="fixed"/>
        <w:tblLook w:firstColumn="1" w:firstRow="1" w:lastColumn="0" w:lastRow="0" w:noHBand="0" w:noVBand="1" w:val="04A0"/>
      </w:tblPr>
      <w:tblGrid>
        <w:gridCol w:w="4680"/>
        <w:gridCol w:w="4680"/>
      </w:tblGrid>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Hook Visual</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Video de un cliente real abriendo el paquete con estrellitas de valoración (⭐⭐⭐⭐⭐) animadas en pantalla o carrusel con capturas de reseñas reales.</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Texto Principal (Caption)</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“Dudé al principio, pero superó todas mis expectativas desde el primer día.” — [Nombre de Cliente].</w:t>
              <w:br/>
              <w:br/>
              <w:t>Más de [X] personas ya dieron el paso esta semana. Si tenías dudas sobre la calidad o el envío, cuentas con nuestra Garantía de Satisfacción de [X] días y soporte directo.</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Titular (Headline)</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 4.9/5 Estrellas de más de [X] clientes</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Botón (CTA)</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Ver opiniones / Comprar ahora</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Ángulo de Conversión</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Prueba social masiva, validación de terceros y eliminación del riesgo percibido.</w:t>
            </w:r>
          </w:p>
        </w:tc>
      </w:tr>
    </w:tbl>
    <w:p>
      <w:pPr>
        <w:spacing w:after="160"/>
      </w:pPr>
    </w:p>
    <w:p>
      <w:pPr>
        <w:spacing w:before="200" w:after="80"/>
      </w:pPr>
      <w:r>
        <w:rPr>
          <w:b/>
          <w:color w:val="C0392B"/>
          <w:sz w:val="24"/>
        </w:rPr>
        <w:t>Etapa 3: Día 7 (Días 5 a 7) — Incentivo Final y Escasez Absoluta</w:t>
      </w:r>
    </w:p>
    <w:p>
      <w:pPr>
        <w:spacing w:after="160"/>
      </w:pPr>
      <w:r>
        <w:rPr>
          <w:b/>
        </w:rPr>
        <w:t xml:space="preserve">• Enfoque táctico: </w:t>
      </w:r>
      <w:r>
        <w:t>Vencer la procrastinación. Ofrecer un incentivo irreversible con fecha límite estricta (ej. envío gratis prioritario, cupón del 10% OFF o regalo exclusivo).</w:t>
        <w:br/>
      </w:r>
      <w:r>
        <w:rPr>
          <w:b/>
        </w:rPr>
        <w:t xml:space="preserve">• Formato ideal: </w:t>
      </w:r>
      <w:r>
        <w:t>Motion Graphics / Video dinámico (1:1 o 9:16) con gráfica de temporizador descendente o banner de "Última oportunidad".</w:t>
      </w:r>
    </w:p>
    <w:tbl>
      <w:tblPr>
        <w:tblW w:type="auto" w:w="0"/>
        <w:jc w:val="center"/>
        <w:tblLayout w:type="fixed"/>
        <w:tblLook w:firstColumn="1" w:firstRow="1" w:lastColumn="0" w:lastRow="0" w:noHBand="0" w:noVBand="1" w:val="04A0"/>
      </w:tblPr>
      <w:tblGrid>
        <w:gridCol w:w="4680"/>
        <w:gridCol w:w="4680"/>
      </w:tblGrid>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Hook Visual</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Gráfica impactante con alto contraste (ej. fondo oscuro con letras amarillas/rojas) indicando: "CÓDIGO ACTIVO: 24 HORAS".</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Texto Principal (Caption)</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Tu orden está a punto de ser cancelada y liberada para otros clientes. Queremos ayudarte a tomar la decisión hoy: usa el código ULTIMAOPORTUNIDAD al finalizar tu compra y obtén un [10% OFF / Envío Gratis].</w:t>
              <w:br/>
              <w:br/>
              <w:t>⚠️ Válido únicamente por las próximas 24 horas.</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Titular (Headline)</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 Tu cupón de descuento expira hoy</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Botón (CTA)</w:t>
            </w:r>
          </w:p>
        </w:tc>
        <w:tc>
          <w:tcPr>
            <w:tcW w:type="dxa" w:w="6480"/>
            <w:shd w:fill="F8F9FA"/>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Reclamar descuento / Completar pedido</w:t>
            </w:r>
          </w:p>
        </w:tc>
      </w:tr>
      <w:tr>
        <w:tc>
          <w:tcPr>
            <w:tcW w:type="dxa" w:w="2880"/>
            <w:shd w:fill="EAECEE"/>
            <w:tcMar>
              <w:top w:w="80" w:type="dxa"/>
              <w:bottom w:w="80" w:type="dxa"/>
              <w:left w:w="100" w:type="dxa"/>
              <w:right w:w="100" w:type="dxa"/>
            </w:tcMar>
            <w:tcBorders>
              <w:top w:val="single" w:sz="4" w:space="0" w:color="E0E0E0"/>
              <w:left w:val="none"/>
              <w:bottom w:val="single" w:sz="4" w:space="0" w:color="E0E0E0"/>
              <w:right w:val="none"/>
            </w:tcBorders>
          </w:tcPr>
          <w:p>
            <w:r>
              <w:rPr>
                <w:b/>
                <w:color w:val="1B365D"/>
                <w:sz w:val="19"/>
              </w:rPr>
              <w:t>Ángulo de Conversión</w:t>
            </w:r>
          </w:p>
        </w:tc>
        <w:tc>
          <w:tcPr>
            <w:tcW w:type="dxa" w:w="6480"/>
            <w:shd w:fill="FFFFFF"/>
            <w:tcMar>
              <w:top w:w="80" w:type="dxa"/>
              <w:bottom w:w="80" w:type="dxa"/>
              <w:left w:w="100" w:type="dxa"/>
              <w:right w:w="100" w:type="dxa"/>
            </w:tcMar>
            <w:tcBorders>
              <w:top w:val="single" w:sz="4" w:space="0" w:color="E0E0E0"/>
              <w:left w:val="none"/>
              <w:bottom w:val="single" w:sz="4" w:space="0" w:color="E0E0E0"/>
              <w:right w:val="none"/>
            </w:tcBorders>
          </w:tcPr>
          <w:p>
            <w:r>
              <w:rPr>
                <w:color w:val="2C3E50"/>
                <w:sz w:val="19"/>
              </w:rPr>
              <w:t>Miedo a perder la oportunidad (FOMO), escasez real e incentivo económico final.</w:t>
            </w:r>
          </w:p>
        </w:tc>
      </w:tr>
    </w:tbl>
    <w:p>
      <w:pPr>
        <w:spacing w:after="160"/>
      </w:pPr>
    </w:p>
    <w:p>
      <w:pPr>
        <w:spacing w:before="280" w:after="160"/>
      </w:pPr>
      <w:r>
        <w:rPr>
          <w:b/>
          <w:color w:val="1B365D"/>
          <w:sz w:val="28"/>
        </w:rPr>
        <w:t>3. Resumen de Métricas e Indicadores Clave (KPIs)</w:t>
      </w: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20" w:type="dxa"/>
              <w:right w:w="120" w:type="dxa"/>
            </w:tcMar>
            <w:tcBorders>
              <w:top w:val="single" w:sz="4" w:space="0" w:color="E0E0E0"/>
              <w:left w:val="none"/>
              <w:bottom w:val="single" w:sz="4" w:space="0" w:color="E0E0E0"/>
              <w:right w:val="none"/>
            </w:tcBorders>
          </w:tcPr>
          <w:p>
            <w:r>
              <w:rPr>
                <w:b/>
                <w:color w:val="FFFFFF"/>
              </w:rPr>
              <w:t>Tipo de Indicador</w:t>
            </w:r>
          </w:p>
        </w:tc>
        <w:tc>
          <w:tcPr>
            <w:tcW w:type="dxa" w:w="4680"/>
            <w:shd w:fill="1B365D"/>
            <w:tcMar>
              <w:top w:w="100" w:type="dxa"/>
              <w:bottom w:w="100" w:type="dxa"/>
              <w:left w:w="120" w:type="dxa"/>
              <w:right w:w="120" w:type="dxa"/>
            </w:tcMar>
            <w:tcBorders>
              <w:top w:val="single" w:sz="4" w:space="0" w:color="E0E0E0"/>
              <w:left w:val="none"/>
              <w:bottom w:val="single" w:sz="4" w:space="0" w:color="E0E0E0"/>
              <w:right w:val="none"/>
            </w:tcBorders>
          </w:tcPr>
          <w:p>
            <w:r>
              <w:rPr>
                <w:b/>
                <w:color w:val="FFFFFF"/>
              </w:rPr>
              <w:t>Definición y Meta Recomendada</w:t>
            </w:r>
          </w:p>
        </w:tc>
      </w:tr>
      <w:tr>
        <w:tc>
          <w:tcPr>
            <w:tcW w:type="dxa" w:w="3168"/>
            <w:shd w:fill="F8F9FA"/>
            <w:tcMar>
              <w:top w:w="80" w:type="dxa"/>
              <w:bottom w:w="80" w:type="dxa"/>
              <w:left w:w="120" w:type="dxa"/>
              <w:right w:w="120" w:type="dxa"/>
            </w:tcMar>
            <w:tcBorders>
              <w:top w:val="single" w:sz="4" w:space="0" w:color="E0E0E0"/>
              <w:left w:val="none"/>
              <w:bottom w:val="single" w:sz="4" w:space="0" w:color="E0E0E0"/>
              <w:right w:val="none"/>
            </w:tcBorders>
          </w:tcPr>
          <w:p>
            <w:r>
              <w:rPr>
                <w:b/>
              </w:rPr>
              <w:t>KPI Principal</w:t>
            </w:r>
          </w:p>
        </w:tc>
        <w:tc>
          <w:tcPr>
            <w:tcW w:type="dxa" w:w="6192"/>
            <w:shd w:fill="F8F9FA"/>
            <w:tcMar>
              <w:top w:w="80" w:type="dxa"/>
              <w:bottom w:w="80" w:type="dxa"/>
              <w:left w:w="120" w:type="dxa"/>
              <w:right w:w="120" w:type="dxa"/>
            </w:tcMar>
            <w:tcBorders>
              <w:top w:val="single" w:sz="4" w:space="0" w:color="E0E0E0"/>
              <w:left w:val="none"/>
              <w:bottom w:val="single" w:sz="4" w:space="0" w:color="E0E0E0"/>
              <w:right w:val="none"/>
            </w:tcBorders>
          </w:tcPr>
          <w:p>
            <w:r>
              <w:t>ROAS de Remarketing (Return on Ad Spend) y Tasa de Recuperación de Checkout (%)</w:t>
            </w:r>
          </w:p>
        </w:tc>
      </w:tr>
      <w:tr>
        <w:tc>
          <w:tcPr>
            <w:tcW w:type="dxa" w:w="3168"/>
            <w:shd w:fill="FFFFFF"/>
            <w:tcMar>
              <w:top w:w="80" w:type="dxa"/>
              <w:bottom w:w="80" w:type="dxa"/>
              <w:left w:w="120" w:type="dxa"/>
              <w:right w:w="120" w:type="dxa"/>
            </w:tcMar>
            <w:tcBorders>
              <w:top w:val="single" w:sz="4" w:space="0" w:color="E0E0E0"/>
              <w:left w:val="none"/>
              <w:bottom w:val="single" w:sz="4" w:space="0" w:color="E0E0E0"/>
              <w:right w:val="none"/>
            </w:tcBorders>
          </w:tcPr>
          <w:p>
            <w:r>
              <w:rPr>
                <w:b/>
              </w:rPr>
              <w:t>Métricas Secundarias</w:t>
            </w:r>
          </w:p>
        </w:tc>
        <w:tc>
          <w:tcPr>
            <w:tcW w:type="dxa" w:w="6192"/>
            <w:shd w:fill="FFFFFF"/>
            <w:tcMar>
              <w:top w:w="80" w:type="dxa"/>
              <w:bottom w:w="80" w:type="dxa"/>
              <w:left w:w="120" w:type="dxa"/>
              <w:right w:w="120" w:type="dxa"/>
            </w:tcMar>
            <w:tcBorders>
              <w:top w:val="single" w:sz="4" w:space="0" w:color="E0E0E0"/>
              <w:left w:val="none"/>
              <w:bottom w:val="single" w:sz="4" w:space="0" w:color="E0E0E0"/>
              <w:right w:val="none"/>
            </w:tcBorders>
          </w:tcPr>
          <w:p>
            <w:r>
              <w:t>CPA (Costo por Adquisición) en retargeting, CTR de Salida (Outbound CTR) en el Día 7, y Frecuencia del Anuncio (mantener &lt; 3.5 impresiones por usuario por etapa).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