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color w:val="B42828"/>
          <w:sz w:val="36"/>
        </w:rPr>
        <w:t>INFORME DE AUDITORÍA DE PRIVACIDAD Y CUMPLIMIENTO REGULATORIO</w:t>
      </w:r>
    </w:p>
    <w:p>
      <w:pPr>
        <w:spacing w:after="360"/>
      </w:pPr>
      <w:r>
        <w:rPr>
          <w:i/>
          <w:color w:val="46505F"/>
          <w:sz w:val="24"/>
        </w:rPr>
        <w:t>Evaluación de Impacto en Protección de Datos (GDPR, CCPA &amp; Leyes Locales)</w:t>
      </w:r>
    </w:p>
    <w:p>
      <w:pPr>
        <w:spacing w:after="240"/>
        <w:pBdr>
          <w:bottom w:val="single" w:sz="12" w:space="1" w:color="B42828"/>
        </w:pBdr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DF2F2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left w:val="single" w:sz="36" w:space="0" w:color="B42828"/>
              <w:top w:val="none"/>
              <w:right w:val="none"/>
              <w:bottom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color w:val="282828"/>
                <w:sz w:val="21"/>
              </w:rPr>
              <w:t>🔴 Nivel de Riesgo General: CRÍTICO</w:t>
              <w:br/>
              <w:br/>
              <w:t>El análisis detecta múltiples contravenciones graves a las normativas internacionales de privacidad de datos (GDPR, CCPA), incluyendo el procesamiento de datos excesivos, la retención indefinida sin base legal y la venta/transferencia no transparente de datos a terceros.</w:t>
            </w:r>
          </w:p>
        </w:tc>
      </w:tr>
    </w:tbl>
    <w:p>
      <w:pPr>
        <w:spacing w:after="120"/>
      </w:pPr>
    </w:p>
    <w:p>
      <w:pPr>
        <w:keepNext/>
        <w:spacing w:before="280" w:after="160"/>
      </w:pPr>
      <w:r>
        <w:rPr>
          <w:b/>
          <w:color w:val="B42828"/>
          <w:sz w:val="28"/>
        </w:rPr>
        <w:t>🚨 Hallazgos y Violaciones Detectadas</w:t>
      </w:r>
    </w:p>
    <w:p>
      <w:pPr>
        <w:keepNext/>
        <w:spacing w:before="120" w:after="40"/>
      </w:pPr>
      <w:r>
        <w:rPr>
          <w:b/>
          <w:color w:val="46505F"/>
          <w:sz w:val="22"/>
        </w:rPr>
        <w:t>1. Consentimiento No Válido y Casillas Pre-marcadas (GDPR Art. 4(11), Art. 7; CCPA/CPRA)</w:t>
      </w:r>
    </w:p>
    <w:p>
      <w:pPr>
        <w:spacing w:before="0" w:after="160" w:line="276" w:lineRule="auto"/>
      </w:pPr>
      <w:r>
        <w:rPr>
          <w:sz w:val="20"/>
        </w:rPr>
        <w:t>La casilla de aceptación del formulario viene seleccionada por defecto e agrupa forzosamente los Términos y Condiciones, la recepción de ofertas comerciales y la transferencia de datos a 'socios estratégicos'.</w:t>
        <w:br/>
        <w:t>• Impacto Regulatorio: El GDPR exige que el consentimiento sea una acción afirmativa, clara, específica e independiente. Las casillas pre-marcadas y el consentimiento empaquetado ('bundled consent') invalida legalmente la autorización.</w:t>
      </w:r>
    </w:p>
    <w:p>
      <w:pPr>
        <w:keepNext/>
        <w:spacing w:before="120" w:after="40"/>
      </w:pPr>
      <w:r>
        <w:rPr>
          <w:b/>
          <w:color w:val="46505F"/>
          <w:sz w:val="22"/>
        </w:rPr>
        <w:t>2. Violación del Principio de Minimización de Datos (GDPR Art. 5.1(c))</w:t>
      </w:r>
    </w:p>
    <w:p>
      <w:pPr>
        <w:spacing w:before="0" w:after="160" w:line="276" w:lineRule="auto"/>
      </w:pPr>
      <w:r>
        <w:rPr>
          <w:sz w:val="20"/>
        </w:rPr>
        <w:t>Se solicitan datos de alta sensibilidad como el Número de Cédula/DNI, dirección completa de residencia y estado civil para una mecánica de sorteo y entrega de cupones.</w:t>
        <w:br/>
        <w:t>• Impacto Regulatorio: La recolección debe limitarse estrictamente a los datos indispensables para ejecutar el sorteo. Solicitar datos adicionales sin justificación operativa directa transgrede el principio de proporcionalidad.</w:t>
      </w:r>
    </w:p>
    <w:p>
      <w:pPr>
        <w:keepNext/>
        <w:spacing w:before="120" w:after="40"/>
      </w:pPr>
      <w:r>
        <w:rPr>
          <w:b/>
          <w:color w:val="46505F"/>
          <w:sz w:val="22"/>
        </w:rPr>
        <w:t>3. Falta de Transparencia e Ilegalidad en Transferencia a Terceros (GDPR Art. 13, Art. 14; CCPA)</w:t>
      </w:r>
    </w:p>
    <w:p>
      <w:pPr>
        <w:spacing w:before="0" w:after="160" w:line="276" w:lineRule="auto"/>
      </w:pPr>
      <w:r>
        <w:rPr>
          <w:sz w:val="20"/>
        </w:rPr>
        <w:t>Los datos recopilados se transferirán a 5 patrocinadores no identificados para llamadas de venta directa durante 12 meses. La política además menciona transferencias a 'cualquier tercero nacional o internacional'.</w:t>
        <w:br/>
        <w:t>• Impacto Regulatorio: Es ilegal ceder o vender datos personales a terceros sin identificarlos de forma explícita al momento de la captura y sin contar con una casilla independiente de opt-in optativo.</w:t>
      </w:r>
    </w:p>
    <w:p>
      <w:pPr>
        <w:keepNext/>
        <w:spacing w:before="120" w:after="40"/>
      </w:pPr>
      <w:r>
        <w:rPr>
          <w:b/>
          <w:color w:val="46505F"/>
          <w:sz w:val="22"/>
        </w:rPr>
        <w:t>4. Retención Indefinida y Denegación del Derecho de Supresión (GDPR Art. 17, Art. 5.1(e))</w:t>
      </w:r>
    </w:p>
    <w:p>
      <w:pPr>
        <w:spacing w:before="0" w:after="160" w:line="276" w:lineRule="auto"/>
      </w:pPr>
      <w:r>
        <w:rPr>
          <w:sz w:val="20"/>
        </w:rPr>
        <w:t>El texto declara la conservación 'indefinida' de la información y pretende denegar el derecho de supresión alegando un 'interés comercial legítimo'.</w:t>
        <w:br/>
        <w:t>• Impacto Regulatorio: El interés comercial legítimo NO prevalece sobre el derecho fundamental al olvido ni justifica la retención perpetua. Se exige establecer plazos explícitos de conservación.</w:t>
      </w:r>
    </w:p>
    <w:p>
      <w:pPr>
        <w:keepNext/>
        <w:spacing w:before="120" w:after="40"/>
      </w:pPr>
      <w:r>
        <w:rPr>
          <w:b/>
          <w:color w:val="46505F"/>
          <w:sz w:val="22"/>
        </w:rPr>
        <w:t>5. Fricción Desproporcionada en el Ejercicio de Derechos ARCO (GDPR Art. 12)</w:t>
      </w:r>
    </w:p>
    <w:p>
      <w:pPr>
        <w:spacing w:before="0" w:after="160" w:line="276" w:lineRule="auto"/>
      </w:pPr>
      <w:r>
        <w:rPr>
          <w:sz w:val="20"/>
        </w:rPr>
        <w:t>Se exige enviar una carta físico-postal a las oficinas centrales para ejercer los derechos de privacidad o resolver dudas.</w:t>
        <w:br/>
        <w:t>• Impacto Regulatorio: El responsable del tratamiento debe ofrecer medios digitales e igualmente sencillos a los utilizados para la captura de los datos (ej. correo electrónico o portal de privacidad).</w:t>
      </w:r>
    </w:p>
    <w:p>
      <w:pPr>
        <w:keepNext/>
        <w:spacing w:before="120" w:after="40"/>
      </w:pPr>
      <w:r>
        <w:rPr>
          <w:b/>
          <w:color w:val="46505F"/>
          <w:sz w:val="22"/>
        </w:rPr>
        <w:t>6. Empleo de Patrones Oscuros / Dark Patterns</w:t>
      </w:r>
    </w:p>
    <w:p>
      <w:pPr>
        <w:spacing w:before="0" w:after="160" w:line="276" w:lineRule="auto"/>
      </w:pPr>
      <w:r>
        <w:rPr>
          <w:sz w:val="20"/>
        </w:rPr>
        <w:t>Se condiciona la participación en un sorteo gratuito a la aceptación de telemercadeo agresivo de terceros.</w:t>
        <w:br/>
        <w:t>• Impacto Regulatorio: Constituye coerción sutil y manipulación del consentimiento, viciando la voluntad libre del titular.</w:t>
      </w:r>
    </w:p>
    <w:p>
      <w:pPr>
        <w:keepNext/>
        <w:spacing w:before="320" w:after="160"/>
      </w:pPr>
      <w:r>
        <w:rPr>
          <w:b/>
          <w:color w:val="B42828"/>
          <w:sz w:val="28"/>
        </w:rPr>
        <w:t>🛠️ Propuesta de Corrección y Rediseño Legal</w:t>
      </w:r>
    </w:p>
    <w:p>
      <w:pPr>
        <w:spacing w:before="80" w:after="80"/>
      </w:pPr>
      <w:r>
        <w:rPr>
          <w:b/>
          <w:color w:val="46505F"/>
        </w:rPr>
        <w:t>A. Estructura del Formulario Rediseñado (Minimización Aprobada):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46505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20"/>
              </w:rPr>
              <w:t>Campo</w:t>
            </w:r>
          </w:p>
        </w:tc>
        <w:tc>
          <w:tcPr>
            <w:tcW w:type="dxa" w:w="3120"/>
            <w:shd w:fill="46505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20"/>
              </w:rPr>
              <w:t>Carácter</w:t>
            </w:r>
          </w:p>
        </w:tc>
        <w:tc>
          <w:tcPr>
            <w:tcW w:type="dxa" w:w="3120"/>
            <w:shd w:fill="46505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20"/>
              </w:rPr>
              <w:t>Justificación Legal</w:t>
            </w:r>
          </w:p>
        </w:tc>
      </w:tr>
      <w:tr>
        <w:tc>
          <w:tcPr>
            <w:tcW w:type="dxa" w:w="3120"/>
            <w:shd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Nombre Completo</w:t>
            </w:r>
          </w:p>
        </w:tc>
        <w:tc>
          <w:tcPr>
            <w:tcW w:type="dxa" w:w="3120"/>
            <w:shd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Obligatorio</w:t>
            </w:r>
          </w:p>
        </w:tc>
        <w:tc>
          <w:tcPr>
            <w:tcW w:type="dxa" w:w="3120"/>
            <w:shd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Identificación del participante</w:t>
            </w:r>
          </w:p>
        </w:tc>
      </w:tr>
      <w:tr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Correo Electrónico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Obligatorio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Notificación del premio y envío del cupón</w:t>
            </w:r>
          </w:p>
        </w:tc>
      </w:tr>
      <w:tr>
        <w:tc>
          <w:tcPr>
            <w:tcW w:type="dxa" w:w="3120"/>
            <w:shd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Teléfono Móvil</w:t>
            </w:r>
          </w:p>
        </w:tc>
        <w:tc>
          <w:tcPr>
            <w:tcW w:type="dxa" w:w="3120"/>
            <w:shd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Opcional</w:t>
            </w:r>
          </w:p>
        </w:tc>
        <w:tc>
          <w:tcPr>
            <w:tcW w:type="dxa" w:w="3120"/>
            <w:shd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Solo si el usuario desea alertas por SMS</w:t>
            </w:r>
          </w:p>
        </w:tc>
      </w:tr>
      <w:tr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Edad / Confirmación +18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Obligatorio (Checkbox)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Verificación de mayoría de edad</w:t>
            </w:r>
          </w:p>
        </w:tc>
      </w:tr>
    </w:tbl>
    <w:p>
      <w:pPr>
        <w:spacing w:after="120"/>
      </w:pPr>
    </w:p>
    <w:p>
      <w:pPr>
        <w:spacing w:before="120" w:after="80"/>
      </w:pPr>
      <w:r>
        <w:rPr>
          <w:b/>
          <w:color w:val="46505F"/>
        </w:rPr>
        <w:t>B. Casillas de Consentimiento Granular (Todas Desmarcadas por Defecto):</w:t>
      </w:r>
    </w:p>
    <w:p>
      <w:pPr>
        <w:spacing w:before="40" w:after="80"/>
      </w:pPr>
      <w:r>
        <w:rPr>
          <w:sz w:val="20"/>
        </w:rPr>
        <w:t>[ ] (Obligatorio) Acepto los [Términos y Condiciones del Sorteo] y la [Política de Privacidad].</w:t>
      </w:r>
    </w:p>
    <w:p>
      <w:pPr>
        <w:spacing w:before="40" w:after="80"/>
      </w:pPr>
      <w:r>
        <w:rPr>
          <w:sz w:val="20"/>
        </w:rPr>
        <w:t>[ ] (Opcional) Deseo recibir ofertas y promociones exclusivas de Promociones Express S.A. por correo electrónico.</w:t>
      </w:r>
    </w:p>
    <w:p>
      <w:pPr>
        <w:spacing w:before="40" w:after="80"/>
      </w:pPr>
      <w:r>
        <w:rPr>
          <w:sz w:val="20"/>
        </w:rPr>
        <w:t>[ ] (Opcional) Acepto que mis datos de contacto sean compartidos con nuestras entidades patrocinadoras (Patrocinador A, Patrocinador B) para recibir información sobre sus productos bancarios y de seguros.</w:t>
      </w:r>
    </w:p>
    <w:p>
      <w:pPr>
        <w:spacing w:before="160" w:after="80"/>
      </w:pPr>
      <w:r>
        <w:rPr>
          <w:b/>
          <w:color w:val="46505F"/>
        </w:rPr>
        <w:t>C. Texto de la Política de Privacidad y Aviso Legal Simplificado: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8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left w:val="single" w:sz="36" w:space="0" w:color="46505F"/>
              <w:top w:val="none"/>
              <w:right w:val="none"/>
              <w:bottom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color w:val="282828"/>
                <w:sz w:val="21"/>
              </w:rPr>
              <w:t>Aviso de Privacidad Simplificado:</w:t>
              <w:br/>
              <w:br/>
              <w:t>Promociones Express S.A. es el responsable del tratamiento de sus datos personales. Sus datos de contacto serán utilizados exclusivamente para gestionar su participación en el sorteo y enviarle el cupón de descuento solicitado.</w:t>
              <w:br/>
              <w:br/>
              <w:t>Sus datos se conservarán únicamente durante el tiempo necesario para realizar el sorteo y cumplir con las obligaciones legales aplicables. Únicamente compartiremos su información con terceros si nos otorga su consentimiento explícito a través de las casillas opcionales correspondientes.</w:t>
              <w:br/>
              <w:br/>
              <w:t>En cualquier momento podrá retirar su consentimiento y ejercer sus derechos de Acceso, Rectificación, Supresión, Oposición y Limitación (ARCO) enviando un correo electrónico a privacidad@promocionesexpress.com. Para más información, consulte nuestra [Política de Privacidad Completa].</w:t>
            </w:r>
          </w:p>
        </w:tc>
      </w:tr>
    </w:tbl>
    <w:p>
      <w:pPr>
        <w:spacing w:after="240"/>
      </w:pPr>
    </w:p>
    <w:p>
      <w:pPr>
        <w:spacing w:before="240" w:after="80"/>
      </w:pPr>
      <w:r>
        <w:rPr>
          <w:b/>
          <w:color w:val="646464"/>
          <w:sz w:val="21"/>
        </w:rPr>
        <w:t>⚠️ Disclaimer</w:t>
      </w:r>
    </w:p>
    <w:p>
      <w:pPr>
        <w:spacing w:before="0" w:after="0"/>
      </w:pPr>
      <w:r>
        <w:rPr>
          <w:i/>
          <w:color w:val="646464"/>
          <w:sz w:val="19"/>
        </w:rPr>
        <w:t>Este análisis es una guía automatizada y no sustituye la revisión formal de un abogado o DPO (Data Protection Officer).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8282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