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81"/>
        <w:ind w:left="3" w:right="1"/>
        <w:jc w:val="center"/>
      </w:pPr>
      <w:r>
        <w:t xml:space="preserve">2024 </w:t>
      </w:r>
      <w:r>
        <w:rPr>
          <w:spacing w:val="-5"/>
        </w:rPr>
        <w:t>ICM</w:t>
      </w:r>
    </w:p>
    <w:p>
      <w:pPr>
        <w:spacing w:before="1"/>
        <w:ind w:left="2" w:right="2" w:firstLine="0"/>
        <w:jc w:val="center"/>
        <w:rPr>
          <w:b/>
          <w:sz w:val="22"/>
        </w:rPr>
      </w:pPr>
      <w:r>
        <w:rPr>
          <w:b/>
          <w:sz w:val="22"/>
        </w:rPr>
        <w:t>问题 E：</w:t>
      </w:r>
      <w:r>
        <w:rPr>
          <w:b/>
          <w:spacing w:val="-2"/>
          <w:sz w:val="22"/>
        </w:rPr>
        <w:t>财产保险</w:t>
      </w:r>
      <w:r>
        <w:rPr>
          <w:b/>
          <w:sz w:val="22"/>
        </w:rPr>
        <w:t>的可持续性</w:t>
      </w:r>
    </w:p>
    <w:p>
      <w:pPr>
        <w:pStyle w:val="4"/>
        <w:spacing w:before="8"/>
        <w:rPr>
          <w:b/>
          <w:sz w:val="11"/>
        </w:rPr>
      </w:pPr>
      <w:r>
        <w:drawing>
          <wp:anchor distT="0" distB="0" distL="0" distR="0" simplePos="0" relativeHeight="251660288" behindDoc="1" locked="0" layoutInCell="1" allowOverlap="1">
            <wp:simplePos x="0" y="0"/>
            <wp:positionH relativeFrom="page">
              <wp:posOffset>2324100</wp:posOffset>
            </wp:positionH>
            <wp:positionV relativeFrom="paragraph">
              <wp:posOffset>100965</wp:posOffset>
            </wp:positionV>
            <wp:extent cx="3109595" cy="1777365"/>
            <wp:effectExtent l="0" t="0" r="0" b="0"/>
            <wp:wrapTopAndBottom/>
            <wp:docPr id="2" name="Image 2" descr="A large tornado over a city  Description automatically generated "/>
            <wp:cNvGraphicFramePr/>
            <a:graphic xmlns:a="http://schemas.openxmlformats.org/drawingml/2006/main">
              <a:graphicData uri="http://schemas.openxmlformats.org/drawingml/2006/picture">
                <pic:pic xmlns:pic="http://schemas.openxmlformats.org/drawingml/2006/picture">
                  <pic:nvPicPr>
                    <pic:cNvPr id="2" name="Image 2" descr="A large tornado over a city  Description automatically generated "/>
                    <pic:cNvPicPr/>
                  </pic:nvPicPr>
                  <pic:blipFill>
                    <a:blip r:embed="rId9" cstate="print"/>
                    <a:stretch>
                      <a:fillRect/>
                    </a:stretch>
                  </pic:blipFill>
                  <pic:spPr>
                    <a:xfrm>
                      <a:off x="0" y="0"/>
                      <a:ext cx="3109542" cy="1777555"/>
                    </a:xfrm>
                    <a:prstGeom prst="rect">
                      <a:avLst/>
                    </a:prstGeom>
                  </pic:spPr>
                </pic:pic>
              </a:graphicData>
            </a:graphic>
          </wp:anchor>
        </w:drawing>
      </w:r>
    </w:p>
    <w:p>
      <w:pPr>
        <w:spacing w:before="21"/>
        <w:ind w:left="2" w:right="2" w:firstLine="0"/>
        <w:jc w:val="center"/>
        <w:rPr>
          <w:b/>
          <w:sz w:val="12"/>
        </w:rPr>
      </w:pPr>
      <w:r>
        <w:rPr>
          <w:b/>
          <w:sz w:val="12"/>
        </w:rPr>
        <w:t>图片来源：</w:t>
      </w:r>
      <w:r>
        <w:rPr>
          <w:b/>
          <w:spacing w:val="-2"/>
          <w:sz w:val="12"/>
        </w:rPr>
        <w:t>Pixabay.com</w:t>
      </w:r>
    </w:p>
    <w:p>
      <w:pPr>
        <w:pStyle w:val="4"/>
        <w:spacing w:before="111"/>
        <w:rPr>
          <w:b/>
          <w:sz w:val="12"/>
        </w:rPr>
      </w:pPr>
    </w:p>
    <w:p>
      <w:pPr>
        <w:pStyle w:val="4"/>
        <w:ind w:left="220" w:right="282"/>
        <w:rPr>
          <w:b/>
        </w:rPr>
      </w:pPr>
      <w:r>
        <w:t>极端天气事件正在成为财产所有者和保险公司的危机。近年来，全世界 "遭受了 1000 多起极端天气事件造成的超过 1 万亿美元的损失"。</w:t>
      </w:r>
      <w:r>
        <w:rPr>
          <w:b/>
          <w:color w:val="0000FF"/>
          <w:vertAlign w:val="superscript"/>
        </w:rPr>
        <w:t>[1]</w:t>
      </w:r>
      <w:r>
        <w:rPr>
          <w:vertAlign w:val="baseline"/>
        </w:rPr>
        <w:t>保险业 2022 年的自然灾害理赔额比 30 年的平均水平增加了 "115%"。</w:t>
      </w:r>
      <w:r>
        <w:rPr>
          <w:b/>
          <w:color w:val="0000FF"/>
          <w:vertAlign w:val="superscript"/>
        </w:rPr>
        <w:t>[1]</w:t>
      </w:r>
      <w:r>
        <w:rPr>
          <w:vertAlign w:val="baseline"/>
        </w:rPr>
        <w:t>由于</w:t>
      </w:r>
      <w:r>
        <w:rPr>
          <w:highlight w:val="yellow"/>
          <w:vertAlign w:val="baseline"/>
        </w:rPr>
        <w:t>洪水、飓风、气旋、干旱和野火等恶劣天气</w:t>
      </w:r>
      <w:r>
        <w:rPr>
          <w:vertAlign w:val="baseline"/>
        </w:rPr>
        <w:t>相关事件造成的损失可能会增加，预计情况会变得更糟。</w:t>
      </w:r>
      <w:r>
        <w:rPr>
          <w:spacing w:val="-5"/>
          <w:vertAlign w:val="baseline"/>
        </w:rPr>
        <w:t>保险费</w:t>
      </w:r>
      <w:r>
        <w:rPr>
          <w:vertAlign w:val="baseline"/>
        </w:rPr>
        <w:t>正在迅速上涨，预计到 2040 年，气候变化将使</w:t>
      </w:r>
      <w:r>
        <w:rPr>
          <w:highlight w:val="yellow"/>
          <w:vertAlign w:val="baseline"/>
        </w:rPr>
        <w:t>保险费上涨</w:t>
      </w:r>
      <w:r>
        <w:rPr>
          <w:vertAlign w:val="baseline"/>
        </w:rPr>
        <w:t xml:space="preserve"> 30%-60%。</w:t>
      </w:r>
      <w:r>
        <w:rPr>
          <w:b/>
          <w:color w:val="0000FF"/>
          <w:vertAlign w:val="superscript"/>
        </w:rPr>
        <w:t>[1]</w:t>
      </w:r>
    </w:p>
    <w:p>
      <w:pPr>
        <w:pStyle w:val="4"/>
        <w:spacing w:before="162"/>
        <w:ind w:left="219" w:right="282"/>
      </w:pPr>
      <w:r>
        <w:t>财产保险不仅越来越贵，而且越来越难找，因为保险公司改变了他们愿意</w:t>
      </w:r>
      <w:r>
        <w:rPr>
          <w:b/>
        </w:rPr>
        <w:t>承保的</w:t>
      </w:r>
      <w:r>
        <w:t>方式和地点。与天气有关的事故导致财产保险费的上涨，这取决于您所处的</w:t>
      </w:r>
      <w:r>
        <w:rPr>
          <w:highlight w:val="yellow"/>
        </w:rPr>
        <w:t>地理位置</w:t>
      </w:r>
      <w:r>
        <w:t>。此外，全世界的</w:t>
      </w:r>
      <w:r>
        <w:rPr>
          <w:b/>
        </w:rPr>
        <w:t>保险保障缺口</w:t>
      </w:r>
      <w:r>
        <w:t>平均为 57%，而且还在不断扩大。</w:t>
      </w:r>
      <w:r>
        <w:rPr>
          <w:b/>
          <w:color w:val="0000FF"/>
          <w:vertAlign w:val="superscript"/>
        </w:rPr>
        <w:t>[2]</w:t>
      </w:r>
      <w:r>
        <w:rPr>
          <w:vertAlign w:val="baseline"/>
        </w:rPr>
        <w:t>这凸显了该行业的</w:t>
      </w:r>
      <w:r>
        <w:rPr>
          <w:highlight w:val="yellow"/>
          <w:vertAlign w:val="baseline"/>
        </w:rPr>
        <w:t>两难</w:t>
      </w:r>
      <w:r>
        <w:rPr>
          <w:vertAlign w:val="baseline"/>
        </w:rPr>
        <w:t>处境--保险公司的盈利能力和财产所有人的经济承受能力正在出现危机。</w:t>
      </w:r>
    </w:p>
    <w:p>
      <w:pPr>
        <w:pStyle w:val="4"/>
        <w:spacing w:before="162"/>
        <w:ind w:left="219" w:right="227"/>
      </w:pPr>
      <w:r>
        <w:rPr>
          <w:color w:val="212121"/>
        </w:rPr>
        <w:t>中国大洋协会的巨灾保险建模人员（</w:t>
      </w:r>
      <w:r>
        <w:rPr>
          <w:b/>
          <w:color w:val="212121"/>
        </w:rPr>
        <w:t>ICM</w:t>
      </w:r>
      <w:r>
        <w:rPr>
          <w:color w:val="212121"/>
        </w:rPr>
        <w:t>）对财产保险业的可持续性很感兴趣。由于</w:t>
      </w:r>
      <w:r>
        <w:rPr>
          <w:color w:val="212121"/>
          <w:highlight w:val="yellow"/>
        </w:rPr>
        <w:t>气候变化</w:t>
      </w:r>
      <w:r>
        <w:rPr>
          <w:color w:val="212121"/>
        </w:rPr>
        <w:t>增加了发生更多恶劣天气和自然灾害的可能性，ICM 希望确定现在如何对财产保险做出最好的定位，从而使该系统具有</w:t>
      </w:r>
      <w:r>
        <w:rPr>
          <w:color w:val="212121"/>
          <w:highlight w:val="yellow"/>
        </w:rPr>
        <w:t>抵御</w:t>
      </w:r>
      <w:r>
        <w:rPr>
          <w:color w:val="212121"/>
          <w:highlight w:val="cyan"/>
        </w:rPr>
        <w:t>未来</w:t>
      </w:r>
      <w:r>
        <w:rPr>
          <w:rFonts w:hint="eastAsia" w:eastAsia="宋体"/>
          <w:color w:val="212121"/>
          <w:highlight w:val="cyan"/>
          <w:lang w:eastAsia="zh-CN"/>
        </w:rPr>
        <w:t>（</w:t>
      </w:r>
      <w:r>
        <w:rPr>
          <w:rFonts w:hint="eastAsia" w:eastAsia="宋体"/>
          <w:color w:val="212121"/>
          <w:highlight w:val="cyan"/>
          <w:lang w:val="en-US" w:eastAsia="zh-CN"/>
        </w:rPr>
        <w:t>说明不仅不亏本，还要大于未来可能索赔的钱</w:t>
      </w:r>
      <w:r>
        <w:rPr>
          <w:rFonts w:hint="eastAsia" w:eastAsia="宋体"/>
          <w:color w:val="212121"/>
          <w:highlight w:val="cyan"/>
          <w:lang w:eastAsia="zh-CN"/>
        </w:rPr>
        <w:t>）</w:t>
      </w:r>
      <w:r>
        <w:rPr>
          <w:color w:val="212121"/>
          <w:highlight w:val="yellow"/>
        </w:rPr>
        <w:t>索赔成本的能力</w:t>
      </w:r>
      <w:r>
        <w:rPr>
          <w:color w:val="212121"/>
        </w:rPr>
        <w:t>，同时</w:t>
      </w:r>
      <w:r>
        <w:rPr>
          <w:color w:val="212121"/>
          <w:highlight w:val="yellow"/>
        </w:rPr>
        <w:t>确保保险公司的长期健康发展</w:t>
      </w:r>
      <w:r>
        <w:rPr>
          <w:color w:val="212121"/>
        </w:rPr>
        <w:t>。如果保险公司在太多情况下不愿承保，它们就会因客户太少而倒闭。反之，如果保险公司承保的保单</w:t>
      </w:r>
      <w:r>
        <w:rPr>
          <w:color w:val="212121"/>
          <w:highlight w:val="yellow"/>
        </w:rPr>
        <w:t>风险</w:t>
      </w:r>
      <w:r>
        <w:rPr>
          <w:color w:val="212121"/>
        </w:rPr>
        <w:t>过高，则可能会支付过多的</w:t>
      </w:r>
      <w:r>
        <w:rPr>
          <w:color w:val="212121"/>
          <w:spacing w:val="-6"/>
        </w:rPr>
        <w:t>赔款</w:t>
      </w:r>
      <w:r>
        <w:rPr>
          <w:rFonts w:hint="eastAsia" w:eastAsia="宋体"/>
          <w:color w:val="212121"/>
          <w:spacing w:val="-6"/>
          <w:highlight w:val="cyan"/>
          <w:lang w:eastAsia="zh-CN"/>
        </w:rPr>
        <w:t>（</w:t>
      </w:r>
      <w:r>
        <w:rPr>
          <w:rFonts w:hint="eastAsia" w:eastAsia="宋体"/>
          <w:color w:val="212121"/>
          <w:spacing w:val="-6"/>
          <w:highlight w:val="cyan"/>
          <w:lang w:val="en-US" w:eastAsia="zh-CN"/>
        </w:rPr>
        <w:t>说明要均衡购买量</w:t>
      </w:r>
      <w:r>
        <w:rPr>
          <w:rFonts w:hint="eastAsia" w:eastAsia="宋体"/>
          <w:color w:val="212121"/>
          <w:spacing w:val="-6"/>
          <w:highlight w:val="cyan"/>
          <w:lang w:eastAsia="zh-CN"/>
        </w:rPr>
        <w:t>）</w:t>
      </w:r>
      <w:r>
        <w:rPr>
          <w:color w:val="212121"/>
        </w:rPr>
        <w:t>。保險公司應在</w:t>
      </w:r>
      <w:r>
        <w:rPr>
          <w:color w:val="212121"/>
          <w:highlight w:val="yellow"/>
        </w:rPr>
        <w:t>甚麼情況下</w:t>
      </w:r>
      <w:r>
        <w:rPr>
          <w:color w:val="212121"/>
        </w:rPr>
        <w:t>承保？</w:t>
      </w:r>
      <w:r>
        <w:rPr>
          <w:color w:val="212121"/>
          <w:highlight w:val="yellow"/>
        </w:rPr>
        <w:t>什么时候</w:t>
      </w:r>
      <w:r>
        <w:rPr>
          <w:color w:val="212121"/>
        </w:rPr>
        <w:t>应该选择承担风险？</w:t>
      </w:r>
      <w:r>
        <w:rPr>
          <w:color w:val="212121"/>
          <w:highlight w:val="yellow"/>
        </w:rPr>
        <w:t>业主</w:t>
      </w:r>
      <w:r>
        <w:rPr>
          <w:rFonts w:hint="eastAsia" w:eastAsia="宋体"/>
          <w:color w:val="212121"/>
          <w:highlight w:val="cyan"/>
          <w:lang w:val="en-US" w:eastAsia="zh-CN"/>
        </w:rPr>
        <w:t>(财产拥有者，要买保险的人)</w:t>
      </w:r>
      <w:r>
        <w:rPr>
          <w:color w:val="212121"/>
          <w:highlight w:val="yellow"/>
        </w:rPr>
        <w:t>是否</w:t>
      </w:r>
      <w:r>
        <w:rPr>
          <w:color w:val="212121"/>
        </w:rPr>
        <w:t>可以做些什么来影响这一决定？为保险公司建立一个模型，以确定他们</w:t>
      </w:r>
      <w:r>
        <w:rPr>
          <w:color w:val="212121"/>
          <w:highlight w:val="yellow"/>
        </w:rPr>
        <w:t>是否</w:t>
      </w:r>
      <w:r>
        <w:rPr>
          <w:color w:val="212121"/>
        </w:rPr>
        <w:t>应该在极端天气事件不断增加的地区承保。使用位于不同大洲的</w:t>
      </w:r>
      <w:r>
        <w:rPr>
          <w:color w:val="212121"/>
          <w:highlight w:val="yellow"/>
        </w:rPr>
        <w:t>两个</w:t>
      </w:r>
      <w:r>
        <w:rPr>
          <w:color w:val="212121"/>
        </w:rPr>
        <w:t>发生极端天气事件的地区来演示您的模型。</w:t>
      </w:r>
    </w:p>
    <w:p>
      <w:pPr>
        <w:pStyle w:val="4"/>
        <w:spacing w:before="160"/>
        <w:ind w:left="220" w:right="425"/>
      </w:pPr>
      <w:r>
        <w:rPr>
          <w:color w:val="212121"/>
          <w:highlight w:val="yellow"/>
        </w:rPr>
        <w:t>展望未来</w:t>
      </w:r>
      <w:r>
        <w:rPr>
          <w:color w:val="212121"/>
        </w:rPr>
        <w:t>，社区和房地产</w:t>
      </w:r>
      <w:r>
        <w:rPr>
          <w:color w:val="212121"/>
          <w:highlight w:val="yellow"/>
        </w:rPr>
        <w:t>开发商</w:t>
      </w:r>
      <w:r>
        <w:rPr>
          <w:color w:val="212121"/>
        </w:rPr>
        <w:t>需要扪心自问，</w:t>
      </w:r>
      <w:r>
        <w:rPr>
          <w:color w:val="212121"/>
          <w:highlight w:val="cyan"/>
        </w:rPr>
        <w:t>如何</w:t>
      </w:r>
      <w:r>
        <w:rPr>
          <w:color w:val="212121"/>
        </w:rPr>
        <w:t>以及</w:t>
      </w:r>
      <w:r>
        <w:rPr>
          <w:color w:val="212121"/>
          <w:highlight w:val="yellow"/>
        </w:rPr>
        <w:t>在</w:t>
      </w:r>
      <w:r>
        <w:rPr>
          <w:color w:val="212121"/>
          <w:highlight w:val="cyan"/>
        </w:rPr>
        <w:t>何处</w:t>
      </w:r>
      <w:r>
        <w:rPr>
          <w:color w:val="212121"/>
        </w:rPr>
        <w:t>进行建设和发展。随着保险环境的变化，未来的房地产决策必须确保房地产具有更强的抗灾能力，并经过深思熟虑，包括为</w:t>
      </w:r>
      <w:r>
        <w:rPr>
          <w:color w:val="212121"/>
          <w:highlight w:val="yellow"/>
        </w:rPr>
        <w:t>不断</w:t>
      </w:r>
      <w:r>
        <w:rPr>
          <w:color w:val="212121"/>
          <w:highlight w:val="cyan"/>
        </w:rPr>
        <w:t>增长的社区和人口</w:t>
      </w:r>
      <w:r>
        <w:rPr>
          <w:color w:val="212121"/>
        </w:rPr>
        <w:t>提供适当服务的可行性。如何</w:t>
      </w:r>
      <w:r>
        <w:rPr>
          <w:color w:val="212121"/>
          <w:highlight w:val="cyan"/>
        </w:rPr>
        <w:t>调整您的保险模式</w:t>
      </w:r>
      <w:r>
        <w:rPr>
          <w:color w:val="212121"/>
        </w:rPr>
        <w:t>，以评估在</w:t>
      </w:r>
      <w:r>
        <w:rPr>
          <w:color w:val="212121"/>
          <w:highlight w:val="cyan"/>
        </w:rPr>
        <w:t>何处</w:t>
      </w:r>
      <w:r>
        <w:rPr>
          <w:color w:val="212121"/>
        </w:rPr>
        <w:t>、</w:t>
      </w:r>
      <w:r>
        <w:rPr>
          <w:color w:val="212121"/>
          <w:highlight w:val="cyan"/>
        </w:rPr>
        <w:t>如何</w:t>
      </w:r>
      <w:r>
        <w:rPr>
          <w:color w:val="212121"/>
        </w:rPr>
        <w:t>以及</w:t>
      </w:r>
      <w:r>
        <w:rPr>
          <w:color w:val="212121"/>
          <w:highlight w:val="cyan"/>
        </w:rPr>
        <w:t>是否</w:t>
      </w:r>
      <w:r>
        <w:rPr>
          <w:color w:val="212121"/>
        </w:rPr>
        <w:t>在某些地点进行建设？</w:t>
      </w:r>
    </w:p>
    <w:p>
      <w:pPr>
        <w:pStyle w:val="4"/>
        <w:spacing w:before="156"/>
        <w:ind w:left="220" w:right="282"/>
      </w:pPr>
      <w:r>
        <w:t>在某些社区，您的保险模式可能</w:t>
      </w:r>
      <w:r>
        <w:rPr>
          <w:highlight w:val="cyan"/>
        </w:rPr>
        <w:t>建议不承保</w:t>
      </w:r>
      <w:r>
        <w:t>当前或未来的</w:t>
      </w:r>
      <w:r>
        <w:rPr>
          <w:spacing w:val="-4"/>
        </w:rPr>
        <w:t>财产保险</w:t>
      </w:r>
      <w:r>
        <w:t>。这可能会导致社区领导者对具有文化或社区意义的财产做出艰难的决定。例如，北卡罗来纳州外滩的哈特拉斯角灯塔被迁移，以保护这座历史悠久的灯塔以及以其为中心的当地旅游业。</w:t>
      </w:r>
      <w:r>
        <w:rPr>
          <w:b/>
          <w:color w:val="0000FF"/>
          <w:vertAlign w:val="superscript"/>
        </w:rPr>
        <w:t>[3]</w:t>
      </w:r>
      <w:r>
        <w:rPr>
          <w:vertAlign w:val="baseline"/>
        </w:rPr>
        <w:t>作为社区领导者，您</w:t>
      </w:r>
      <w:r>
        <w:rPr>
          <w:highlight w:val="yellow"/>
          <w:vertAlign w:val="baseline"/>
        </w:rPr>
        <w:t>如何识别</w:t>
      </w:r>
      <w:r>
        <w:rPr>
          <w:vertAlign w:val="baseline"/>
        </w:rPr>
        <w:t>社区中的建筑？</w:t>
      </w:r>
    </w:p>
    <w:p>
      <w:pPr>
        <w:spacing w:after="0"/>
        <w:sectPr>
          <w:footerReference r:id="rId5" w:type="default"/>
          <w:type w:val="continuous"/>
          <w:pgSz w:w="12240" w:h="15840"/>
          <w:pgMar w:top="1360" w:right="1220" w:bottom="940" w:left="1220" w:header="0" w:footer="743" w:gutter="0"/>
          <w:pgNumType w:start="1"/>
          <w:cols w:space="720" w:num="1"/>
        </w:sectPr>
      </w:pPr>
    </w:p>
    <w:p>
      <w:pPr>
        <w:pStyle w:val="4"/>
        <w:spacing w:before="81"/>
        <w:ind w:left="220" w:right="282"/>
      </w:pPr>
      <w:r>
        <w:t>由于其</w:t>
      </w:r>
      <w:r>
        <w:rPr>
          <w:highlight w:val="yellow"/>
        </w:rPr>
        <w:t>文化、历史、经济或社区意义</w:t>
      </w:r>
      <w:r>
        <w:t>而应得到保存和保护的建筑？开发一个</w:t>
      </w:r>
      <w:r>
        <w:rPr>
          <w:highlight w:val="yellow"/>
        </w:rPr>
        <w:t>保护模式</w:t>
      </w:r>
      <w:r>
        <w:t>，供社区领导人使用，以确定他们应在</w:t>
      </w:r>
      <w:r>
        <w:rPr>
          <w:highlight w:val="yellow"/>
        </w:rPr>
        <w:t>多大程度上</w:t>
      </w:r>
      <w:r>
        <w:t>采取措施保护社区内的建筑物。</w:t>
      </w:r>
    </w:p>
    <w:p>
      <w:pPr>
        <w:pStyle w:val="4"/>
        <w:spacing w:before="158"/>
        <w:ind w:left="220" w:right="282"/>
      </w:pPr>
      <w:r>
        <w:t>选择一个历史地标（不是哈特拉斯角灯塔），该地标所在位置会遭遇极端天气事件。运用您的</w:t>
      </w:r>
      <w:r>
        <w:rPr>
          <w:highlight w:val="cyan"/>
        </w:rPr>
        <w:t>保险</w:t>
      </w:r>
      <w:r>
        <w:t>和</w:t>
      </w:r>
      <w:r>
        <w:rPr>
          <w:highlight w:val="cyan"/>
        </w:rPr>
        <w:t>保护模式</w:t>
      </w:r>
      <w:r>
        <w:t>来</w:t>
      </w:r>
      <w:r>
        <w:rPr>
          <w:spacing w:val="-2"/>
        </w:rPr>
        <w:t>评估</w:t>
      </w:r>
      <w:r>
        <w:t>这个</w:t>
      </w:r>
      <w:r>
        <w:rPr>
          <w:highlight w:val="green"/>
        </w:rPr>
        <w:t>地标的价值</w:t>
      </w:r>
      <w:r>
        <w:t>。根据您从</w:t>
      </w:r>
      <w:r>
        <w:rPr>
          <w:highlight w:val="cyan"/>
        </w:rPr>
        <w:t>保险</w:t>
      </w:r>
      <w:r>
        <w:t>和</w:t>
      </w:r>
      <w:r>
        <w:rPr>
          <w:highlight w:val="cyan"/>
        </w:rPr>
        <w:t>保护模型</w:t>
      </w:r>
      <w:r>
        <w:t>结果中获得的洞察力，</w:t>
      </w:r>
      <w:r>
        <w:rPr>
          <w:highlight w:val="yellow"/>
        </w:rPr>
        <w:t>撰写一封一页纸的信</w:t>
      </w:r>
      <w:r>
        <w:t>，向社区</w:t>
      </w:r>
      <w:bookmarkStart w:id="2" w:name="_GoBack"/>
      <w:bookmarkEnd w:id="2"/>
      <w:r>
        <w:t>建议一个</w:t>
      </w:r>
      <w:r>
        <w:rPr>
          <w:highlight w:val="yellow"/>
        </w:rPr>
        <w:t>计划</w:t>
      </w:r>
      <w:r>
        <w:t>、</w:t>
      </w:r>
      <w:r>
        <w:rPr>
          <w:highlight w:val="yellow"/>
        </w:rPr>
        <w:t>时间表</w:t>
      </w:r>
      <w:r>
        <w:t>和</w:t>
      </w:r>
      <w:r>
        <w:rPr>
          <w:highlight w:val="yellow"/>
        </w:rPr>
        <w:t>成本</w:t>
      </w:r>
      <w:r>
        <w:t>提案，以保护他们珍爱的地标。</w:t>
      </w:r>
    </w:p>
    <w:p>
      <w:pPr>
        <w:pStyle w:val="4"/>
        <w:spacing w:before="160"/>
        <w:ind w:left="220"/>
      </w:pPr>
      <w:r>
        <w:t>您的 PDF 解决方案总页数不超过 25 页，</w:t>
      </w:r>
      <w:r>
        <w:rPr>
          <w:spacing w:val="-2"/>
        </w:rPr>
        <w:t>其中</w:t>
      </w:r>
      <w:r>
        <w:t>应</w:t>
      </w:r>
      <w:r>
        <w:rPr>
          <w:spacing w:val="-2"/>
        </w:rPr>
        <w:t>包括</w:t>
      </w:r>
    </w:p>
    <w:p>
      <w:pPr>
        <w:pStyle w:val="8"/>
        <w:numPr>
          <w:ilvl w:val="0"/>
          <w:numId w:val="1"/>
        </w:numPr>
        <w:tabs>
          <w:tab w:val="left" w:pos="940"/>
        </w:tabs>
        <w:spacing w:before="20" w:after="0" w:line="230" w:lineRule="auto"/>
        <w:ind w:left="940" w:right="736" w:hanging="361"/>
        <w:jc w:val="left"/>
        <w:rPr>
          <w:sz w:val="22"/>
        </w:rPr>
      </w:pPr>
      <w:r>
        <w:rPr>
          <w:sz w:val="22"/>
        </w:rPr>
        <w:t>一页纸的摘要表，清楚地描述你解决问题的方法，以及根据问题分析得出的最重要结论。</w:t>
      </w:r>
    </w:p>
    <w:p>
      <w:pPr>
        <w:pStyle w:val="8"/>
        <w:numPr>
          <w:ilvl w:val="0"/>
          <w:numId w:val="1"/>
        </w:numPr>
        <w:tabs>
          <w:tab w:val="left" w:pos="940"/>
        </w:tabs>
        <w:spacing w:before="14" w:after="0" w:line="240" w:lineRule="auto"/>
        <w:ind w:left="940" w:right="0" w:hanging="360"/>
        <w:jc w:val="left"/>
        <w:rPr>
          <w:sz w:val="22"/>
        </w:rPr>
      </w:pPr>
      <w:r>
        <w:rPr>
          <w:spacing w:val="-2"/>
          <w:sz w:val="22"/>
        </w:rPr>
        <w:t>目录</w:t>
      </w:r>
    </w:p>
    <w:p>
      <w:pPr>
        <w:pStyle w:val="8"/>
        <w:numPr>
          <w:ilvl w:val="0"/>
          <w:numId w:val="1"/>
        </w:numPr>
        <w:tabs>
          <w:tab w:val="left" w:pos="940"/>
        </w:tabs>
        <w:spacing w:before="0" w:after="0" w:line="240" w:lineRule="auto"/>
        <w:ind w:left="940" w:right="0" w:hanging="360"/>
        <w:jc w:val="left"/>
        <w:rPr>
          <w:sz w:val="22"/>
        </w:rPr>
      </w:pPr>
      <w:r>
        <w:rPr>
          <w:sz w:val="22"/>
        </w:rPr>
        <w:t>您的全套</w:t>
      </w:r>
      <w:r>
        <w:rPr>
          <w:spacing w:val="-2"/>
          <w:sz w:val="22"/>
        </w:rPr>
        <w:t>解决方案</w:t>
      </w:r>
    </w:p>
    <w:p>
      <w:pPr>
        <w:pStyle w:val="8"/>
        <w:numPr>
          <w:ilvl w:val="0"/>
          <w:numId w:val="1"/>
        </w:numPr>
        <w:tabs>
          <w:tab w:val="left" w:pos="940"/>
        </w:tabs>
        <w:spacing w:before="1" w:after="0" w:line="240" w:lineRule="auto"/>
        <w:ind w:left="940" w:right="0" w:hanging="360"/>
        <w:jc w:val="left"/>
        <w:rPr>
          <w:sz w:val="22"/>
        </w:rPr>
      </w:pPr>
      <w:r>
        <w:rPr>
          <w:sz w:val="22"/>
        </w:rPr>
        <w:t>单页社区</w:t>
      </w:r>
      <w:r>
        <w:rPr>
          <w:spacing w:val="-2"/>
          <w:sz w:val="22"/>
        </w:rPr>
        <w:t>信函。</w:t>
      </w:r>
    </w:p>
    <w:p>
      <w:pPr>
        <w:pStyle w:val="8"/>
        <w:numPr>
          <w:ilvl w:val="0"/>
          <w:numId w:val="1"/>
        </w:numPr>
        <w:tabs>
          <w:tab w:val="left" w:pos="940"/>
        </w:tabs>
        <w:spacing w:before="0" w:after="0" w:line="240" w:lineRule="auto"/>
        <w:ind w:left="940" w:right="0" w:hanging="360"/>
        <w:jc w:val="left"/>
        <w:rPr>
          <w:sz w:val="22"/>
        </w:rPr>
      </w:pPr>
      <w:r>
        <w:fldChar w:fldCharType="begin"/>
      </w:r>
      <w:r>
        <w:instrText xml:space="preserve"> HYPERLINK \l "_bookmark0" </w:instrText>
      </w:r>
      <w:r>
        <w:fldChar w:fldCharType="separate"/>
      </w:r>
      <w:r>
        <w:rPr>
          <w:color w:val="0000FF"/>
          <w:sz w:val="22"/>
        </w:rPr>
        <w:t>人工智能使用报告</w:t>
      </w:r>
      <w:r>
        <w:rPr>
          <w:color w:val="0000FF"/>
          <w:sz w:val="22"/>
        </w:rPr>
        <w:fldChar w:fldCharType="end"/>
      </w:r>
      <w:r>
        <w:rPr>
          <w:sz w:val="22"/>
        </w:rPr>
        <w:t>（如</w:t>
      </w:r>
      <w:r>
        <w:rPr>
          <w:spacing w:val="-2"/>
          <w:sz w:val="22"/>
        </w:rPr>
        <w:t>使用）。</w:t>
      </w:r>
    </w:p>
    <w:p>
      <w:pPr>
        <w:pStyle w:val="4"/>
        <w:spacing w:before="169"/>
      </w:pPr>
    </w:p>
    <w:p>
      <w:pPr>
        <w:pStyle w:val="4"/>
        <w:spacing w:line="276" w:lineRule="auto"/>
        <w:ind w:left="220" w:right="282"/>
      </w:pPr>
      <w:r>
        <w:rPr>
          <w:b/>
        </w:rPr>
        <w:t>注意：</w:t>
      </w:r>
      <w:r>
        <w:t>对于提交的完整 ICM 文档，没有具体的最低</w:t>
      </w:r>
      <w:r>
        <w:rPr>
          <w:spacing w:val="-1"/>
        </w:rPr>
        <w:t>页数</w:t>
      </w:r>
      <w:r>
        <w:t xml:space="preserve">要求。你可以用最多 25 页的篇幅来撰写你的所有解决方案以及你想包含的任何其他信息（例如：图纸、图表、计算、表格）。我们接受部分解决方案。我们允许谨慎使用人工智能，如 ChatGPT，但没有必要为这一问题创建解决方案。如果您选择使用生成式人工智能，则必须遵守 </w:t>
      </w:r>
      <w:r>
        <w:fldChar w:fldCharType="begin"/>
      </w:r>
      <w:r>
        <w:instrText xml:space="preserve"> HYPERLINK \l "_bookmark1" </w:instrText>
      </w:r>
      <w:r>
        <w:fldChar w:fldCharType="separate"/>
      </w:r>
      <w:r>
        <w:rPr>
          <w:color w:val="0000FF"/>
          <w:u w:val="single" w:color="0000FF"/>
        </w:rPr>
        <w:t xml:space="preserve">COMAP </w:t>
      </w:r>
      <w:r>
        <w:rPr>
          <w:color w:val="0000FF"/>
          <w:u w:val="single" w:color="0000FF"/>
        </w:rPr>
        <w:fldChar w:fldCharType="end"/>
      </w:r>
      <w:r>
        <w:fldChar w:fldCharType="begin"/>
      </w:r>
      <w:r>
        <w:instrText xml:space="preserve"> HYPERLINK \l "_bookmark1" </w:instrText>
      </w:r>
      <w:r>
        <w:fldChar w:fldCharType="separate"/>
      </w:r>
      <w:r>
        <w:rPr>
          <w:color w:val="0000FF"/>
          <w:spacing w:val="-25"/>
          <w:u w:val="single" w:color="0000FF"/>
        </w:rPr>
        <w:t>人工</w:t>
      </w:r>
      <w:r>
        <w:rPr>
          <w:color w:val="0000FF"/>
          <w:u w:val="single" w:color="0000FF"/>
        </w:rPr>
        <w:t>智能使用政策</w:t>
      </w:r>
      <w:r>
        <w:t>。</w:t>
      </w:r>
      <w:r>
        <w:fldChar w:fldCharType="end"/>
      </w:r>
      <w:r>
        <w:t>这将导致一份额外的人工智能使用报告，您必须将其添加到 PDF 解决方案文件的末尾，并且不计入解决方案的 25 页总页数限制中。</w:t>
      </w:r>
    </w:p>
    <w:p>
      <w:pPr>
        <w:pStyle w:val="4"/>
        <w:spacing w:before="101"/>
      </w:pPr>
    </w:p>
    <w:p>
      <w:pPr>
        <w:spacing w:before="0"/>
        <w:ind w:left="220" w:right="0" w:firstLine="0"/>
        <w:jc w:val="left"/>
        <w:rPr>
          <w:b/>
          <w:sz w:val="22"/>
        </w:rPr>
      </w:pPr>
      <w:r>
        <w:rPr>
          <w:b/>
          <w:color w:val="212121"/>
          <w:spacing w:val="-2"/>
          <w:sz w:val="22"/>
        </w:rPr>
        <w:t>参考资料</w:t>
      </w:r>
    </w:p>
    <w:p>
      <w:pPr>
        <w:pStyle w:val="8"/>
        <w:numPr>
          <w:ilvl w:val="0"/>
          <w:numId w:val="2"/>
        </w:numPr>
        <w:tabs>
          <w:tab w:val="left" w:pos="531"/>
        </w:tabs>
        <w:spacing w:before="98" w:after="0" w:line="240" w:lineRule="auto"/>
        <w:ind w:left="220" w:right="763" w:firstLine="0"/>
        <w:jc w:val="left"/>
        <w:rPr>
          <w:sz w:val="22"/>
        </w:rPr>
      </w:pPr>
      <w:r>
        <w:rPr>
          <w:sz w:val="22"/>
        </w:rPr>
        <w:t>波士顿咨询公司。(2023 年 12 月 4 日）。气候适应保险风险框架》。检索地址</w:t>
      </w:r>
      <w:r>
        <w:fldChar w:fldCharType="begin"/>
      </w:r>
      <w:r>
        <w:instrText xml:space="preserve"> HYPERLINK "https://www.bcg.com/publications/2023/an-insurance-risk-framework-for-climate-adaptation" \h </w:instrText>
      </w:r>
      <w:r>
        <w:fldChar w:fldCharType="separate"/>
      </w:r>
      <w:r>
        <w:rPr>
          <w:color w:val="0000FF"/>
          <w:sz w:val="22"/>
          <w:u w:val="single" w:color="0000FF"/>
        </w:rPr>
        <w:t xml:space="preserve">： https://www.bcg.com/publications/2023/an-insurance-risk-framework-for- </w:t>
      </w:r>
      <w:r>
        <w:rPr>
          <w:color w:val="0000FF"/>
          <w:sz w:val="22"/>
          <w:u w:val="single" w:color="0000FF"/>
        </w:rPr>
        <w:fldChar w:fldCharType="end"/>
      </w:r>
      <w:r>
        <w:fldChar w:fldCharType="begin"/>
      </w:r>
      <w:r>
        <w:instrText xml:space="preserve"> HYPERLINK "https://www.bcg.com/publications/2023/an-insurance-risk-framework-for-climate-adaptation" \h </w:instrText>
      </w:r>
      <w:r>
        <w:fldChar w:fldCharType="separate"/>
      </w:r>
      <w:r>
        <w:rPr>
          <w:color w:val="0000FF"/>
          <w:spacing w:val="-2"/>
          <w:sz w:val="22"/>
          <w:u w:val="single" w:color="0000FF"/>
        </w:rPr>
        <w:t>climate-adaptation</w:t>
      </w:r>
      <w:r>
        <w:rPr>
          <w:color w:val="0000FF"/>
          <w:spacing w:val="-2"/>
          <w:sz w:val="22"/>
          <w:u w:val="single" w:color="0000FF"/>
        </w:rPr>
        <w:fldChar w:fldCharType="end"/>
      </w:r>
    </w:p>
    <w:p>
      <w:pPr>
        <w:pStyle w:val="4"/>
      </w:pPr>
    </w:p>
    <w:p>
      <w:pPr>
        <w:pStyle w:val="8"/>
        <w:numPr>
          <w:ilvl w:val="0"/>
          <w:numId w:val="2"/>
        </w:numPr>
        <w:tabs>
          <w:tab w:val="left" w:pos="531"/>
        </w:tabs>
        <w:spacing w:before="0" w:after="0" w:line="240" w:lineRule="auto"/>
        <w:ind w:left="220" w:right="562" w:firstLine="0"/>
        <w:jc w:val="left"/>
        <w:rPr>
          <w:sz w:val="22"/>
        </w:rPr>
      </w:pPr>
      <w:r>
        <w:rPr>
          <w:sz w:val="22"/>
        </w:rPr>
        <w:t>慕尼黑 RE.(2022 年 1 月 10 日）。飓风、寒潮、龙卷风：2021 年美国自然灾害损失以天气灾害为主。检索地址</w:t>
      </w:r>
      <w:r>
        <w:fldChar w:fldCharType="begin"/>
      </w:r>
      <w:r>
        <w:instrText xml:space="preserve"> HYPERLINK "https://www.munichre.com/en/company/media-relations/media-information-and-corporate-news/media-information/2022/natural-disaster-losses-2021.html" \h </w:instrText>
      </w:r>
      <w:r>
        <w:fldChar w:fldCharType="separate"/>
      </w:r>
      <w:r>
        <w:rPr>
          <w:color w:val="0000FF"/>
          <w:sz w:val="22"/>
          <w:u w:val="single" w:color="0000FF"/>
        </w:rPr>
        <w:t xml:space="preserve">： https://www.munichre.com/en/company/media- </w:t>
      </w:r>
      <w:r>
        <w:rPr>
          <w:color w:val="0000FF"/>
          <w:sz w:val="22"/>
          <w:u w:val="single" w:color="0000FF"/>
        </w:rPr>
        <w:fldChar w:fldCharType="end"/>
      </w:r>
      <w:r>
        <w:fldChar w:fldCharType="begin"/>
      </w:r>
      <w:r>
        <w:instrText xml:space="preserve"> HYPERLINK "https://www.munichre.com/en/company/media-relations/media-information-and-corporate-news/media-information/2022/natural-disaster-losses-2021.html" \h </w:instrText>
      </w:r>
      <w:r>
        <w:fldChar w:fldCharType="separate"/>
      </w:r>
      <w:r>
        <w:rPr>
          <w:color w:val="0000FF"/>
          <w:spacing w:val="-2"/>
          <w:sz w:val="22"/>
          <w:u w:val="single" w:color="0000FF"/>
        </w:rPr>
        <w:t xml:space="preserve">relations/media-information-and-corporate-news/media-information/2022/natural-disaster-losses- </w:t>
      </w:r>
      <w:r>
        <w:rPr>
          <w:color w:val="0000FF"/>
          <w:spacing w:val="-2"/>
          <w:sz w:val="22"/>
          <w:u w:val="single" w:color="0000FF"/>
        </w:rPr>
        <w:fldChar w:fldCharType="end"/>
      </w:r>
      <w:r>
        <w:fldChar w:fldCharType="begin"/>
      </w:r>
      <w:r>
        <w:instrText xml:space="preserve"> HYPERLINK "https://www.munichre.com/en/company/media-relations/media-information-and-corporate-news/media-information/2022/natural-disaster-losses-2021.html" \h </w:instrText>
      </w:r>
      <w:r>
        <w:fldChar w:fldCharType="separate"/>
      </w:r>
      <w:r>
        <w:rPr>
          <w:color w:val="0000FF"/>
          <w:spacing w:val="-2"/>
          <w:sz w:val="22"/>
          <w:u w:val="single" w:color="0000FF"/>
        </w:rPr>
        <w:t>2021.html</w:t>
      </w:r>
      <w:r>
        <w:rPr>
          <w:color w:val="0000FF"/>
          <w:spacing w:val="-2"/>
          <w:sz w:val="22"/>
          <w:u w:val="single" w:color="0000FF"/>
        </w:rPr>
        <w:fldChar w:fldCharType="end"/>
      </w:r>
    </w:p>
    <w:p>
      <w:pPr>
        <w:pStyle w:val="4"/>
        <w:spacing w:before="252"/>
      </w:pPr>
    </w:p>
    <w:p>
      <w:pPr>
        <w:pStyle w:val="8"/>
        <w:numPr>
          <w:ilvl w:val="0"/>
          <w:numId w:val="2"/>
        </w:numPr>
        <w:tabs>
          <w:tab w:val="left" w:pos="531"/>
        </w:tabs>
        <w:spacing w:before="0" w:after="0" w:line="240" w:lineRule="auto"/>
        <w:ind w:left="220" w:right="514" w:firstLine="0"/>
        <w:jc w:val="left"/>
        <w:rPr>
          <w:sz w:val="22"/>
        </w:rPr>
      </w:pPr>
      <w:r>
        <w:rPr>
          <w:sz w:val="22"/>
        </w:rPr>
        <w:t>忧思科学家联盟。(2016年7月19日）。拯救标志性建筑：将哈特拉斯角灯塔移离不断变化的海岸线》（Saving an Icon: Moving the Cape Hatteras Lighthouse Away from the Shifting Shoreline.检索地址</w:t>
      </w:r>
      <w:r>
        <w:fldChar w:fldCharType="begin"/>
      </w:r>
      <w:r>
        <w:instrText xml:space="preserve"> HYPERLINK "https://www.ucsusa.org/resources/moving-cape-hatteras-lighthouse-away-shifting-shoreline" \h </w:instrText>
      </w:r>
      <w:r>
        <w:fldChar w:fldCharType="separate"/>
      </w:r>
      <w:r>
        <w:rPr>
          <w:color w:val="0000FF"/>
          <w:sz w:val="22"/>
          <w:u w:val="single" w:color="0000FF"/>
        </w:rPr>
        <w:t xml:space="preserve">：https://www.ucsusa.org/resources/moving- </w:t>
      </w:r>
      <w:r>
        <w:rPr>
          <w:color w:val="0000FF"/>
          <w:sz w:val="22"/>
          <w:u w:val="single" w:color="0000FF"/>
        </w:rPr>
        <w:fldChar w:fldCharType="end"/>
      </w:r>
      <w:r>
        <w:fldChar w:fldCharType="begin"/>
      </w:r>
      <w:r>
        <w:instrText xml:space="preserve"> HYPERLINK "https://www.ucsusa.org/resources/moving-cape-hatteras-lighthouse-away-shifting-shoreline" \h </w:instrText>
      </w:r>
      <w:r>
        <w:fldChar w:fldCharType="separate"/>
      </w:r>
      <w:r>
        <w:rPr>
          <w:color w:val="0000FF"/>
          <w:spacing w:val="-2"/>
          <w:sz w:val="22"/>
          <w:u w:val="single" w:color="0000FF"/>
        </w:rPr>
        <w:t>cape-hatteras-lighthouse-away-shifting-shoreline</w:t>
      </w:r>
      <w:r>
        <w:rPr>
          <w:color w:val="0000FF"/>
          <w:spacing w:val="-2"/>
          <w:sz w:val="22"/>
          <w:u w:val="single" w:color="0000FF"/>
        </w:rPr>
        <w:fldChar w:fldCharType="end"/>
      </w:r>
    </w:p>
    <w:p>
      <w:pPr>
        <w:pStyle w:val="4"/>
        <w:spacing w:before="251"/>
      </w:pPr>
    </w:p>
    <w:p>
      <w:pPr>
        <w:pStyle w:val="3"/>
      </w:pPr>
      <w:r>
        <w:rPr>
          <w:spacing w:val="-2"/>
        </w:rPr>
        <w:t>术语表</w:t>
      </w:r>
    </w:p>
    <w:p>
      <w:pPr>
        <w:pStyle w:val="4"/>
        <w:spacing w:before="27"/>
        <w:rPr>
          <w:b/>
        </w:rPr>
      </w:pPr>
    </w:p>
    <w:p>
      <w:pPr>
        <w:pStyle w:val="4"/>
        <w:spacing w:line="244" w:lineRule="auto"/>
        <w:ind w:left="220" w:right="227"/>
      </w:pPr>
      <w:r>
        <w:rPr>
          <w:b/>
        </w:rPr>
        <w:t>保险保障缺口：</w:t>
      </w:r>
      <w:r>
        <w:t>自然灾害</w:t>
      </w:r>
      <w:r>
        <w:rPr>
          <w:spacing w:val="-2"/>
        </w:rPr>
        <w:t>造成的</w:t>
      </w:r>
      <w:r>
        <w:t>经济损失与这些损失的承保金额之间的保障</w:t>
      </w:r>
      <w:r>
        <w:rPr>
          <w:b/>
        </w:rPr>
        <w:t>缺口。</w:t>
      </w:r>
    </w:p>
    <w:p>
      <w:pPr>
        <w:pStyle w:val="4"/>
        <w:spacing w:before="22"/>
      </w:pPr>
    </w:p>
    <w:p>
      <w:pPr>
        <w:pStyle w:val="4"/>
        <w:spacing w:before="1"/>
        <w:ind w:left="220"/>
      </w:pPr>
      <w:r>
        <w:t>承保</w:t>
      </w:r>
      <w:r>
        <w:rPr>
          <w:b/>
        </w:rPr>
        <w:t>：</w:t>
      </w:r>
      <w:r>
        <w:t>承担赔偿责任，从而保证在发生损失或</w:t>
      </w:r>
      <w:r>
        <w:rPr>
          <w:spacing w:val="-2"/>
        </w:rPr>
        <w:t>损坏</w:t>
      </w:r>
      <w:r>
        <w:t>时付款</w:t>
      </w:r>
      <w:r>
        <w:rPr>
          <w:spacing w:val="-2"/>
        </w:rPr>
        <w:t>。</w:t>
      </w:r>
    </w:p>
    <w:p>
      <w:pPr>
        <w:spacing w:after="0"/>
        <w:sectPr>
          <w:pgSz w:w="12240" w:h="15840"/>
          <w:pgMar w:top="1360" w:right="1220" w:bottom="940" w:left="1220" w:header="0" w:footer="743" w:gutter="0"/>
          <w:cols w:space="720" w:num="1"/>
        </w:sectPr>
      </w:pPr>
    </w:p>
    <w:p>
      <w:pPr>
        <w:spacing w:before="81"/>
        <w:ind w:left="0" w:right="217" w:firstLine="0"/>
        <w:jc w:val="right"/>
        <w:rPr>
          <w:rFonts w:ascii="Noto Sans Display"/>
          <w:sz w:val="16"/>
        </w:rPr>
      </w:pPr>
      <w:bookmarkStart w:id="0" w:name="_bookmark0"/>
      <w:bookmarkEnd w:id="0"/>
      <w:bookmarkStart w:id="1" w:name="_bookmark1"/>
      <w:bookmarkEnd w:id="1"/>
      <w:r>
        <w:rPr>
          <w:rFonts w:ascii="Noto Sans Display"/>
          <w:color w:val="1D1D1D"/>
          <w:spacing w:val="-2"/>
          <w:sz w:val="16"/>
        </w:rPr>
        <w:t>v102023</w:t>
      </w:r>
    </w:p>
    <w:p>
      <w:pPr>
        <w:pStyle w:val="4"/>
        <w:spacing w:before="223"/>
        <w:rPr>
          <w:rFonts w:ascii="Noto Sans Display"/>
          <w:sz w:val="24"/>
        </w:rPr>
      </w:pPr>
    </w:p>
    <w:p>
      <w:pPr>
        <w:pStyle w:val="2"/>
        <w:ind w:left="930"/>
      </w:pPr>
      <w:r>
        <w:t xml:space="preserve">在 COMAP </w:t>
      </w:r>
      <w:r>
        <w:rPr>
          <w:spacing w:val="-2"/>
        </w:rPr>
        <w:t>竞赛</w:t>
      </w:r>
      <w:r>
        <w:t>中使用大型语言模型和生成式人工智能工具</w:t>
      </w:r>
    </w:p>
    <w:p>
      <w:pPr>
        <w:pStyle w:val="4"/>
        <w:spacing w:before="4"/>
        <w:rPr>
          <w:b/>
          <w:sz w:val="24"/>
        </w:rPr>
      </w:pPr>
    </w:p>
    <w:p>
      <w:pPr>
        <w:spacing w:before="0" w:line="259" w:lineRule="auto"/>
        <w:ind w:left="220" w:right="282" w:firstLine="0"/>
        <w:jc w:val="left"/>
        <w:rPr>
          <w:sz w:val="24"/>
        </w:rPr>
      </w:pPr>
      <w:r>
        <w:rPr>
          <w:color w:val="1D1D1D"/>
          <w:sz w:val="24"/>
        </w:rPr>
        <w:t>这项政策的出台是由于</w:t>
      </w:r>
      <w:r>
        <w:rPr>
          <w:sz w:val="24"/>
        </w:rPr>
        <w:t>大型语言模型（LLM）和</w:t>
      </w:r>
      <w:r>
        <w:rPr>
          <w:color w:val="1D1D1D"/>
          <w:sz w:val="24"/>
        </w:rPr>
        <w:t>生成式人工智能辅助技术的兴起。该政策旨在为团队、顾问和评委提供更大的透明度和指导。该政策适用于学生工作的各个方面，从模型的研究和开发（包括代码创建）到书面报告。由于这些新兴技术发展迅速，COMAP 将适时完善本政策。</w:t>
      </w:r>
    </w:p>
    <w:p>
      <w:pPr>
        <w:pStyle w:val="4"/>
        <w:spacing w:before="2"/>
        <w:rPr>
          <w:sz w:val="24"/>
        </w:rPr>
      </w:pPr>
    </w:p>
    <w:p>
      <w:pPr>
        <w:spacing w:before="1"/>
        <w:ind w:left="220" w:right="227" w:firstLine="0"/>
        <w:jc w:val="left"/>
        <w:rPr>
          <w:sz w:val="24"/>
        </w:rPr>
      </w:pPr>
      <w:r>
        <w:rPr>
          <w:sz w:val="24"/>
        </w:rPr>
        <w:t>参赛团队必须公开、诚实地说明他们对人工智能工具的所有使用情况。团队及其提交的材料越透明，其工作就越有可能得到他人的充分信任、赞赏和正确使用。这些信息的披露有助于了解智力工作的发展，也有助于对贡献给予适当的肯定。如果不对人工智能工具的作用进行公开、明确的引用和参考，有问题的段落和作品更有可能被认定为剽窃并取消资格。</w:t>
      </w:r>
    </w:p>
    <w:p>
      <w:pPr>
        <w:pStyle w:val="4"/>
        <w:spacing w:before="3"/>
        <w:rPr>
          <w:sz w:val="24"/>
        </w:rPr>
      </w:pPr>
    </w:p>
    <w:p>
      <w:pPr>
        <w:spacing w:before="0"/>
        <w:ind w:left="220" w:right="282" w:firstLine="0"/>
        <w:jc w:val="left"/>
        <w:rPr>
          <w:sz w:val="24"/>
        </w:rPr>
      </w:pPr>
      <w:r>
        <w:rPr>
          <w:color w:val="1D1D1D"/>
          <w:sz w:val="24"/>
        </w:rPr>
        <w:t>解决这些问题并不需要使用人工智能工具，但</w:t>
      </w:r>
      <w:r>
        <w:rPr>
          <w:sz w:val="24"/>
        </w:rPr>
        <w:t>允许</w:t>
      </w:r>
      <w:r>
        <w:rPr>
          <w:color w:val="1D1D1D"/>
          <w:sz w:val="24"/>
        </w:rPr>
        <w:t>负责任地</w:t>
      </w:r>
      <w:r>
        <w:rPr>
          <w:sz w:val="24"/>
        </w:rPr>
        <w:t>使用这些工具。COMAP 认识到 LLM 和生成式人工智能作为生产力工具的价值，它们可以帮助团队准备提交材料；例如，为结构生成初步想法，或者在总结、转述、语言润色等方面。在模型开发的许多任务中，人类</w:t>
      </w:r>
      <w:r>
        <w:rPr>
          <w:spacing w:val="-3"/>
          <w:sz w:val="24"/>
        </w:rPr>
        <w:t>的</w:t>
      </w:r>
      <w:r>
        <w:rPr>
          <w:sz w:val="24"/>
        </w:rPr>
        <w:t>创造力和团队合作是必不可少的，而依赖人工智能工具则会带来风险。因此，我们建议在使用这些技术进行模型选择和构建、协助创建代码、解释数据和模型结果以及得出科学结论等任务时谨慎行事。</w:t>
      </w:r>
    </w:p>
    <w:p>
      <w:pPr>
        <w:pStyle w:val="4"/>
        <w:spacing w:before="5"/>
        <w:rPr>
          <w:sz w:val="24"/>
        </w:rPr>
      </w:pPr>
    </w:p>
    <w:p>
      <w:pPr>
        <w:spacing w:before="0"/>
        <w:ind w:left="219" w:right="282" w:firstLine="0"/>
        <w:jc w:val="left"/>
        <w:rPr>
          <w:sz w:val="24"/>
        </w:rPr>
      </w:pPr>
      <w:r>
        <w:rPr>
          <w:sz w:val="24"/>
        </w:rPr>
        <w:t>必须指出的是，LLM 和生成式人工智能有其局限性，无法取代人类的创造力和批判性思维。如果团队选择使用 LLM，COMAP 建议他们意识到这些风险：</w:t>
      </w:r>
    </w:p>
    <w:p>
      <w:pPr>
        <w:pStyle w:val="4"/>
        <w:spacing w:before="4"/>
        <w:rPr>
          <w:sz w:val="24"/>
        </w:rPr>
      </w:pPr>
    </w:p>
    <w:p>
      <w:pPr>
        <w:pStyle w:val="8"/>
        <w:numPr>
          <w:ilvl w:val="0"/>
          <w:numId w:val="3"/>
        </w:numPr>
        <w:tabs>
          <w:tab w:val="left" w:pos="939"/>
          <w:tab w:val="left" w:pos="1060"/>
        </w:tabs>
        <w:spacing w:before="0" w:after="0" w:line="240" w:lineRule="auto"/>
        <w:ind w:left="1060" w:right="546" w:hanging="360"/>
        <w:jc w:val="left"/>
        <w:rPr>
          <w:sz w:val="24"/>
        </w:rPr>
      </w:pPr>
      <w:r>
        <w:rPr>
          <w:sz w:val="24"/>
        </w:rPr>
        <w:t>客观性：以前发表的含有种族主义、性别歧视或其他偏见的内容可能会出现在 LLM 生成的文本中，一些重要的观点可能无法体现。</w:t>
      </w:r>
    </w:p>
    <w:p>
      <w:pPr>
        <w:pStyle w:val="8"/>
        <w:numPr>
          <w:ilvl w:val="0"/>
          <w:numId w:val="3"/>
        </w:numPr>
        <w:tabs>
          <w:tab w:val="left" w:pos="939"/>
          <w:tab w:val="left" w:pos="1060"/>
        </w:tabs>
        <w:spacing w:before="0" w:after="0" w:line="240" w:lineRule="auto"/>
        <w:ind w:left="1060" w:right="299" w:hanging="360"/>
        <w:jc w:val="left"/>
        <w:rPr>
          <w:sz w:val="24"/>
        </w:rPr>
      </w:pPr>
      <w:r>
        <w:rPr>
          <w:sz w:val="24"/>
        </w:rPr>
        <w:t>准确性：LLM 可能会产生 "幻觉"，即生成错误的内容，尤其是在其领域之外或在处理复杂或模糊的主题时。它们可能会生成语言上可信但科学上不可信的内容，可能会弄错事实，还可能生成不存在的引文。有些 LLM 只针对特定日期前发布的内容进行训练，因此呈现的内容并不完整。</w:t>
      </w:r>
    </w:p>
    <w:p>
      <w:pPr>
        <w:pStyle w:val="8"/>
        <w:numPr>
          <w:ilvl w:val="0"/>
          <w:numId w:val="3"/>
        </w:numPr>
        <w:tabs>
          <w:tab w:val="left" w:pos="939"/>
          <w:tab w:val="left" w:pos="1060"/>
        </w:tabs>
        <w:spacing w:before="0" w:after="0" w:line="240" w:lineRule="auto"/>
        <w:ind w:left="1060" w:right="438" w:hanging="360"/>
        <w:jc w:val="left"/>
        <w:rPr>
          <w:sz w:val="24"/>
        </w:rPr>
      </w:pPr>
      <w:r>
        <w:rPr>
          <w:sz w:val="24"/>
        </w:rPr>
        <w:t>语境理解：LLM 无法将人类的理解力应用到文本</w:t>
      </w:r>
      <w:r>
        <w:rPr>
          <w:spacing w:val="-3"/>
          <w:sz w:val="24"/>
        </w:rPr>
        <w:t>的</w:t>
      </w:r>
      <w:r>
        <w:rPr>
          <w:sz w:val="24"/>
        </w:rPr>
        <w:t>上下文中，尤其是在处理成语表达、讽刺、幽默或隐喻性语言时。这会导致生成的</w:t>
      </w:r>
      <w:r>
        <w:rPr>
          <w:spacing w:val="-2"/>
          <w:sz w:val="24"/>
        </w:rPr>
        <w:t>内容出现</w:t>
      </w:r>
      <w:r>
        <w:rPr>
          <w:sz w:val="24"/>
        </w:rPr>
        <w:t>错误或曲解。</w:t>
      </w:r>
    </w:p>
    <w:p>
      <w:pPr>
        <w:pStyle w:val="8"/>
        <w:numPr>
          <w:ilvl w:val="0"/>
          <w:numId w:val="3"/>
        </w:numPr>
        <w:tabs>
          <w:tab w:val="left" w:pos="939"/>
          <w:tab w:val="left" w:pos="1060"/>
        </w:tabs>
        <w:spacing w:before="0" w:after="0" w:line="240" w:lineRule="auto"/>
        <w:ind w:left="1060" w:right="598" w:hanging="360"/>
        <w:jc w:val="left"/>
        <w:rPr>
          <w:sz w:val="24"/>
        </w:rPr>
      </w:pPr>
      <w:r>
        <w:rPr>
          <w:sz w:val="24"/>
        </w:rPr>
        <w:t>训练数据：LLM 需要大量高质量的训练数据才能达到最佳性能。然而，在某些领域或语言中，此类数据可能</w:t>
      </w:r>
      <w:r>
        <w:rPr>
          <w:spacing w:val="-3"/>
          <w:sz w:val="24"/>
        </w:rPr>
        <w:t>并</w:t>
      </w:r>
      <w:r>
        <w:rPr>
          <w:sz w:val="24"/>
        </w:rPr>
        <w:t>不容易获得，从而限制了任何输出结果的实用性。</w:t>
      </w:r>
    </w:p>
    <w:p>
      <w:pPr>
        <w:spacing w:after="0" w:line="240" w:lineRule="auto"/>
        <w:jc w:val="left"/>
        <w:rPr>
          <w:sz w:val="24"/>
        </w:rPr>
        <w:sectPr>
          <w:footerReference r:id="rId6" w:type="default"/>
          <w:pgSz w:w="12240" w:h="15840"/>
          <w:pgMar w:top="640" w:right="1220" w:bottom="280" w:left="1220" w:header="0" w:footer="0" w:gutter="0"/>
          <w:cols w:space="720" w:num="1"/>
        </w:sectPr>
      </w:pPr>
    </w:p>
    <w:p>
      <w:pPr>
        <w:pStyle w:val="2"/>
        <w:spacing w:before="78"/>
      </w:pPr>
      <w:r>
        <w:rPr>
          <w:spacing w:val="-2"/>
        </w:rPr>
        <w:t>团队</w:t>
      </w:r>
      <w:r>
        <w:t>指南</w:t>
      </w:r>
    </w:p>
    <w:p>
      <w:pPr>
        <w:pStyle w:val="4"/>
        <w:spacing w:before="3"/>
        <w:rPr>
          <w:b/>
          <w:sz w:val="24"/>
        </w:rPr>
      </w:pPr>
    </w:p>
    <w:p>
      <w:pPr>
        <w:spacing w:before="0"/>
        <w:ind w:left="220" w:right="0" w:firstLine="0"/>
        <w:jc w:val="left"/>
        <w:rPr>
          <w:sz w:val="24"/>
        </w:rPr>
      </w:pPr>
      <w:r>
        <w:rPr>
          <w:sz w:val="24"/>
        </w:rPr>
        <w:t>参赛队</w:t>
      </w:r>
      <w:r>
        <w:rPr>
          <w:spacing w:val="-5"/>
          <w:sz w:val="24"/>
        </w:rPr>
        <w:t>必须</w:t>
      </w:r>
    </w:p>
    <w:p>
      <w:pPr>
        <w:pStyle w:val="4"/>
        <w:spacing w:before="4"/>
        <w:rPr>
          <w:sz w:val="24"/>
        </w:rPr>
      </w:pPr>
    </w:p>
    <w:p>
      <w:pPr>
        <w:pStyle w:val="8"/>
        <w:numPr>
          <w:ilvl w:val="1"/>
          <w:numId w:val="2"/>
        </w:numPr>
        <w:tabs>
          <w:tab w:val="left" w:pos="939"/>
          <w:tab w:val="left" w:pos="1059"/>
        </w:tabs>
        <w:spacing w:before="0" w:after="0" w:line="240" w:lineRule="auto"/>
        <w:ind w:left="1059" w:right="531" w:hanging="360"/>
        <w:jc w:val="left"/>
        <w:rPr>
          <w:sz w:val="24"/>
        </w:rPr>
      </w:pPr>
      <w:r>
        <w:rPr>
          <w:b/>
          <w:sz w:val="24"/>
        </w:rPr>
        <w:t>请在报告中明确说明使用了 LLM 或其他人工智能工具，</w:t>
      </w:r>
      <w:r>
        <w:rPr>
          <w:sz w:val="24"/>
        </w:rPr>
        <w:t>包括使用了哪种模型以及用 于何种目的。请使用内联引文和参考文献部分。同时，在 25 页的</w:t>
      </w:r>
      <w:r>
        <w:rPr>
          <w:spacing w:val="-2"/>
          <w:sz w:val="24"/>
        </w:rPr>
        <w:t>解决方案</w:t>
      </w:r>
      <w:r>
        <w:rPr>
          <w:sz w:val="24"/>
        </w:rPr>
        <w:t>后附上</w:t>
      </w:r>
      <w:r>
        <w:rPr>
          <w:sz w:val="24"/>
          <w:u w:val="single"/>
        </w:rPr>
        <w:t>人工智能使用报告</w:t>
      </w:r>
      <w:r>
        <w:rPr>
          <w:sz w:val="24"/>
        </w:rPr>
        <w:t>（如下所述）。</w:t>
      </w:r>
    </w:p>
    <w:p>
      <w:pPr>
        <w:pStyle w:val="8"/>
        <w:numPr>
          <w:ilvl w:val="1"/>
          <w:numId w:val="2"/>
        </w:numPr>
        <w:tabs>
          <w:tab w:val="left" w:pos="940"/>
          <w:tab w:val="left" w:pos="1060"/>
        </w:tabs>
        <w:spacing w:before="0" w:after="0" w:line="240" w:lineRule="auto"/>
        <w:ind w:left="1060" w:right="665" w:hanging="360"/>
        <w:jc w:val="left"/>
        <w:rPr>
          <w:sz w:val="24"/>
        </w:rPr>
      </w:pPr>
      <w:r>
        <w:rPr>
          <w:b/>
          <w:sz w:val="24"/>
        </w:rPr>
        <w:t>核实</w:t>
      </w:r>
      <w:r>
        <w:rPr>
          <w:sz w:val="24"/>
        </w:rPr>
        <w:t>语言模型生成的内容和任何引文的</w:t>
      </w:r>
      <w:r>
        <w:rPr>
          <w:b/>
          <w:sz w:val="24"/>
        </w:rPr>
        <w:t>准确性、有效性和适当性，</w:t>
      </w:r>
      <w:r>
        <w:rPr>
          <w:sz w:val="24"/>
        </w:rPr>
        <w:t>并纠正任何错误或不一致之处。</w:t>
      </w:r>
    </w:p>
    <w:p>
      <w:pPr>
        <w:pStyle w:val="8"/>
        <w:numPr>
          <w:ilvl w:val="1"/>
          <w:numId w:val="2"/>
        </w:numPr>
        <w:tabs>
          <w:tab w:val="left" w:pos="940"/>
          <w:tab w:val="left" w:pos="1060"/>
        </w:tabs>
        <w:spacing w:before="0" w:after="0" w:line="240" w:lineRule="auto"/>
        <w:ind w:left="1060" w:right="658" w:hanging="360"/>
        <w:jc w:val="left"/>
        <w:rPr>
          <w:sz w:val="24"/>
        </w:rPr>
      </w:pPr>
      <w:r>
        <w:rPr>
          <w:b/>
          <w:sz w:val="24"/>
        </w:rPr>
        <w:t>按照此处提供的指导提供引文和参考文献。</w:t>
      </w:r>
      <w:r>
        <w:rPr>
          <w:sz w:val="24"/>
        </w:rPr>
        <w:t>仔细检查引文，确保其准确无误，并正确引用。</w:t>
      </w:r>
    </w:p>
    <w:p>
      <w:pPr>
        <w:pStyle w:val="8"/>
        <w:numPr>
          <w:ilvl w:val="1"/>
          <w:numId w:val="2"/>
        </w:numPr>
        <w:tabs>
          <w:tab w:val="left" w:pos="939"/>
          <w:tab w:val="left" w:pos="1059"/>
        </w:tabs>
        <w:spacing w:before="0" w:after="0" w:line="240" w:lineRule="auto"/>
        <w:ind w:left="1059" w:right="217" w:hanging="360"/>
        <w:jc w:val="left"/>
        <w:rPr>
          <w:sz w:val="24"/>
        </w:rPr>
      </w:pPr>
      <w:r>
        <w:rPr>
          <w:sz w:val="24"/>
        </w:rPr>
        <w:t>由于法学硕士可能会从其他来源复制大量文字，因此</w:t>
      </w:r>
      <w:r>
        <w:rPr>
          <w:b/>
          <w:sz w:val="24"/>
        </w:rPr>
        <w:t>要注意抄袭的可能性</w:t>
      </w:r>
      <w:r>
        <w:rPr>
          <w:sz w:val="24"/>
        </w:rPr>
        <w:t>。检查原始资料来源，确保您没有剽窃他人的作品。</w:t>
      </w:r>
    </w:p>
    <w:p>
      <w:pPr>
        <w:pStyle w:val="4"/>
        <w:spacing w:before="26"/>
        <w:rPr>
          <w:sz w:val="20"/>
        </w:rPr>
      </w:pPr>
      <w:r>
        <mc:AlternateContent>
          <mc:Choice Requires="wps">
            <w:drawing>
              <wp:anchor distT="0" distB="0" distL="0" distR="0" simplePos="0" relativeHeight="251660288" behindDoc="1" locked="0" layoutInCell="1" allowOverlap="1">
                <wp:simplePos x="0" y="0"/>
                <wp:positionH relativeFrom="page">
                  <wp:posOffset>842010</wp:posOffset>
                </wp:positionH>
                <wp:positionV relativeFrom="paragraph">
                  <wp:posOffset>180975</wp:posOffset>
                </wp:positionV>
                <wp:extent cx="6088380" cy="569595"/>
                <wp:effectExtent l="0" t="0" r="0" b="0"/>
                <wp:wrapTopAndBottom/>
                <wp:docPr id="3" name="Textbox 3"/>
                <wp:cNvGraphicFramePr/>
                <a:graphic xmlns:a="http://schemas.openxmlformats.org/drawingml/2006/main">
                  <a:graphicData uri="http://schemas.microsoft.com/office/word/2010/wordprocessingShape">
                    <wps:wsp>
                      <wps:cNvSpPr txBox="1"/>
                      <wps:spPr>
                        <a:xfrm>
                          <a:off x="0" y="0"/>
                          <a:ext cx="6088380" cy="569595"/>
                        </a:xfrm>
                        <a:prstGeom prst="rect">
                          <a:avLst/>
                        </a:prstGeom>
                        <a:ln w="6096">
                          <a:solidFill>
                            <a:srgbClr val="000000"/>
                          </a:solidFill>
                          <a:prstDash val="solid"/>
                        </a:ln>
                      </wps:spPr>
                      <wps:txbx>
                        <w:txbxContent>
                          <w:p>
                            <w:pPr>
                              <w:spacing w:before="40"/>
                              <w:ind w:left="1655" w:right="1655" w:firstLine="0"/>
                              <w:jc w:val="center"/>
                              <w:rPr>
                                <w:b/>
                                <w:sz w:val="24"/>
                              </w:rPr>
                            </w:pPr>
                            <w:r>
                              <w:rPr>
                                <w:b/>
                                <w:sz w:val="24"/>
                              </w:rPr>
                              <w:t>COMAP 将采取适当</w:t>
                            </w:r>
                            <w:r>
                              <w:rPr>
                                <w:b/>
                                <w:spacing w:val="-2"/>
                                <w:sz w:val="24"/>
                              </w:rPr>
                              <w:t>行动</w:t>
                            </w:r>
                          </w:p>
                          <w:p>
                            <w:pPr>
                              <w:spacing w:before="0"/>
                              <w:ind w:left="1655" w:right="1653" w:firstLine="0"/>
                              <w:jc w:val="center"/>
                              <w:rPr>
                                <w:b/>
                                <w:sz w:val="24"/>
                              </w:rPr>
                            </w:pPr>
                            <w:r>
                              <w:rPr>
                                <w:b/>
                                <w:sz w:val="24"/>
                              </w:rPr>
                              <w:t>当我们发现提交材料可能是在未披露使用此类工具的情况下编写的。</w:t>
                            </w:r>
                          </w:p>
                        </w:txbxContent>
                      </wps:txbx>
                      <wps:bodyPr wrap="square" lIns="0" tIns="0" rIns="0" bIns="0" rtlCol="0">
                        <a:noAutofit/>
                      </wps:bodyPr>
                    </wps:wsp>
                  </a:graphicData>
                </a:graphic>
              </wp:anchor>
            </w:drawing>
          </mc:Choice>
          <mc:Fallback>
            <w:pict>
              <v:shape id="Textbox 3" o:spid="_x0000_s1026" o:spt="202" type="#_x0000_t202" style="position:absolute;left:0pt;margin-left:66.3pt;margin-top:14.25pt;height:44.85pt;width:479.4pt;mso-position-horizontal-relative:page;mso-wrap-distance-bottom:0pt;mso-wrap-distance-top:0pt;z-index:-251656192;mso-width-relative:page;mso-height-relative:page;" filled="f" stroked="t" coordsize="21600,21600" o:gfxdata="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7IFT1tcAAAALAQAADwAA&#10;AAAAAAABACAAAAAiAAAAZHJzL2Rvd25yZXYueG1sUEsBAhQAFAAAAAgAh07iQA5EnNfeAQAA1wMA&#10;AA4AAAAAAAAAAQAgAAAAJgEAAGRycy9lMm9Eb2MueG1sUEsFBgAAAAAGAAYAWQEAAHYFAAAAAA==&#10;">
                <v:fill on="f" focussize="0,0"/>
                <v:stroke weight="0.48pt" color="#000000" joinstyle="round"/>
                <v:imagedata o:title=""/>
                <o:lock v:ext="edit" aspectratio="f"/>
                <v:textbox inset="0mm,0mm,0mm,0mm">
                  <w:txbxContent>
                    <w:p>
                      <w:pPr>
                        <w:spacing w:before="40"/>
                        <w:ind w:left="1655" w:right="1655" w:firstLine="0"/>
                        <w:jc w:val="center"/>
                        <w:rPr>
                          <w:b/>
                          <w:sz w:val="24"/>
                        </w:rPr>
                      </w:pPr>
                      <w:r>
                        <w:rPr>
                          <w:b/>
                          <w:sz w:val="24"/>
                        </w:rPr>
                        <w:t>COMAP 将采取适当</w:t>
                      </w:r>
                      <w:r>
                        <w:rPr>
                          <w:b/>
                          <w:spacing w:val="-2"/>
                          <w:sz w:val="24"/>
                        </w:rPr>
                        <w:t>行动</w:t>
                      </w:r>
                    </w:p>
                    <w:p>
                      <w:pPr>
                        <w:spacing w:before="0"/>
                        <w:ind w:left="1655" w:right="1653" w:firstLine="0"/>
                        <w:jc w:val="center"/>
                        <w:rPr>
                          <w:b/>
                          <w:sz w:val="24"/>
                        </w:rPr>
                      </w:pPr>
                      <w:r>
                        <w:rPr>
                          <w:b/>
                          <w:sz w:val="24"/>
                        </w:rPr>
                        <w:t>当我们发现提交材料可能是在未披露使用此类工具的情况下编写的。</w:t>
                      </w:r>
                    </w:p>
                  </w:txbxContent>
                </v:textbox>
                <w10:wrap type="topAndBottom"/>
              </v:shape>
            </w:pict>
          </mc:Fallback>
        </mc:AlternateContent>
      </w:r>
    </w:p>
    <w:p>
      <w:pPr>
        <w:pStyle w:val="4"/>
        <w:spacing w:before="9"/>
        <w:rPr>
          <w:sz w:val="24"/>
        </w:rPr>
      </w:pPr>
    </w:p>
    <w:p>
      <w:pPr>
        <w:pStyle w:val="2"/>
        <w:spacing w:before="1"/>
      </w:pPr>
      <w:r>
        <w:t>引用和参考文献</w:t>
      </w:r>
      <w:r>
        <w:rPr>
          <w:spacing w:val="-2"/>
        </w:rPr>
        <w:t>说明</w:t>
      </w:r>
    </w:p>
    <w:p>
      <w:pPr>
        <w:pStyle w:val="4"/>
        <w:spacing w:before="4"/>
        <w:rPr>
          <w:b/>
          <w:sz w:val="24"/>
        </w:rPr>
      </w:pPr>
    </w:p>
    <w:p>
      <w:pPr>
        <w:spacing w:before="1"/>
        <w:ind w:left="220" w:right="282" w:firstLine="0"/>
        <w:jc w:val="left"/>
        <w:rPr>
          <w:sz w:val="24"/>
        </w:rPr>
      </w:pPr>
      <w:r>
        <w:rPr>
          <w:sz w:val="24"/>
        </w:rPr>
        <w:t>无论团队选择使用什么工具，都要仔细考虑如何记录和引用。各种风格指南都开始纳入人工智能工具的引用和参考政策。请使用内联引文，并在 25 页解决方案</w:t>
      </w:r>
      <w:r>
        <w:rPr>
          <w:spacing w:val="-2"/>
          <w:sz w:val="24"/>
        </w:rPr>
        <w:t>的</w:t>
      </w:r>
      <w:r>
        <w:rPr>
          <w:sz w:val="24"/>
        </w:rPr>
        <w:t>参考文献部分列出所有使用过的人工智能工具。</w:t>
      </w:r>
    </w:p>
    <w:p>
      <w:pPr>
        <w:pStyle w:val="4"/>
        <w:spacing w:before="3"/>
        <w:rPr>
          <w:sz w:val="24"/>
        </w:rPr>
      </w:pPr>
    </w:p>
    <w:p>
      <w:pPr>
        <w:spacing w:before="0"/>
        <w:ind w:left="220" w:right="425" w:firstLine="0"/>
        <w:jc w:val="left"/>
        <w:rPr>
          <w:sz w:val="24"/>
        </w:rPr>
      </w:pPr>
      <w:r>
        <w:rPr>
          <w:sz w:val="24"/>
        </w:rPr>
        <w:t>无论团队是否选择使用人工智能工具，主要解决方案报告的页数仍限制在 25 页以内。如果团队选择使用</w:t>
      </w:r>
      <w:r>
        <w:rPr>
          <w:spacing w:val="-2"/>
          <w:sz w:val="24"/>
        </w:rPr>
        <w:t>人工智能</w:t>
      </w:r>
      <w:r>
        <w:rPr>
          <w:sz w:val="24"/>
        </w:rPr>
        <w:t>，请在报告末尾添加一个新部分，标题为 "</w:t>
      </w:r>
      <w:r>
        <w:rPr>
          <w:sz w:val="24"/>
          <w:u w:val="single"/>
        </w:rPr>
        <w:t>人工智能使用报告"</w:t>
      </w:r>
      <w:r>
        <w:rPr>
          <w:sz w:val="24"/>
        </w:rPr>
        <w:t>。这一新部分没有页数限制，也不会算作 25 页解决方案的一部分。</w:t>
      </w:r>
    </w:p>
    <w:p>
      <w:pPr>
        <w:pStyle w:val="4"/>
        <w:spacing w:before="4"/>
        <w:rPr>
          <w:sz w:val="24"/>
        </w:rPr>
      </w:pPr>
    </w:p>
    <w:p>
      <w:pPr>
        <w:spacing w:before="0"/>
        <w:ind w:left="220" w:right="0" w:firstLine="0"/>
        <w:jc w:val="left"/>
        <w:rPr>
          <w:sz w:val="24"/>
        </w:rPr>
      </w:pPr>
      <w:r>
        <w:rPr>
          <w:sz w:val="24"/>
        </w:rPr>
        <w:t>举例说明（</w:t>
      </w:r>
      <w:r>
        <w:rPr>
          <w:i/>
          <w:sz w:val="24"/>
        </w:rPr>
        <w:t>并非</w:t>
      </w:r>
      <w:r>
        <w:rPr>
          <w:sz w:val="24"/>
        </w:rPr>
        <w:t>详尽无遗，请根据</w:t>
      </w:r>
      <w:r>
        <w:rPr>
          <w:spacing w:val="-2"/>
          <w:sz w:val="24"/>
        </w:rPr>
        <w:t>具体情况进行</w:t>
      </w:r>
      <w:r>
        <w:rPr>
          <w:sz w:val="24"/>
        </w:rPr>
        <w:t>调整</w:t>
      </w:r>
      <w:r>
        <w:rPr>
          <w:spacing w:val="-2"/>
          <w:sz w:val="24"/>
        </w:rPr>
        <w:t>）：</w:t>
      </w:r>
    </w:p>
    <w:p>
      <w:pPr>
        <w:pStyle w:val="4"/>
        <w:spacing w:before="3"/>
        <w:rPr>
          <w:sz w:val="24"/>
        </w:rPr>
      </w:pPr>
    </w:p>
    <w:p>
      <w:pPr>
        <w:spacing w:before="1"/>
        <w:ind w:left="2" w:right="3" w:firstLine="0"/>
        <w:jc w:val="center"/>
        <w:rPr>
          <w:b/>
          <w:sz w:val="24"/>
        </w:rPr>
      </w:pPr>
      <w:r>
        <w:rPr>
          <w:b/>
          <w:sz w:val="24"/>
          <w:u w:val="single"/>
        </w:rPr>
        <w:t>关于</w:t>
      </w:r>
      <w:r>
        <w:rPr>
          <w:b/>
          <w:spacing w:val="-5"/>
          <w:sz w:val="24"/>
          <w:u w:val="single"/>
        </w:rPr>
        <w:t>人工智能</w:t>
      </w:r>
      <w:r>
        <w:rPr>
          <w:b/>
          <w:sz w:val="24"/>
          <w:u w:val="single"/>
        </w:rPr>
        <w:t>使用情况的报告</w:t>
      </w:r>
    </w:p>
    <w:p>
      <w:pPr>
        <w:pStyle w:val="4"/>
        <w:spacing w:before="27"/>
        <w:rPr>
          <w:b/>
        </w:rPr>
      </w:pPr>
    </w:p>
    <w:p>
      <w:pPr>
        <w:pStyle w:val="8"/>
        <w:numPr>
          <w:ilvl w:val="0"/>
          <w:numId w:val="4"/>
        </w:numPr>
        <w:tabs>
          <w:tab w:val="left" w:pos="939"/>
        </w:tabs>
        <w:spacing w:before="0" w:after="0" w:line="240" w:lineRule="auto"/>
        <w:ind w:left="939" w:right="3435" w:hanging="360"/>
        <w:jc w:val="left"/>
        <w:rPr>
          <w:sz w:val="22"/>
        </w:rPr>
      </w:pPr>
      <w:r>
        <w:rPr>
          <w:sz w:val="22"/>
        </w:rPr>
        <w:t xml:space="preserve">OpenAI </w:t>
      </w:r>
      <w:r>
        <w:rPr>
          <w:i/>
          <w:sz w:val="22"/>
        </w:rPr>
        <w:t>ChatGPT</w:t>
      </w:r>
      <w:r>
        <w:rPr>
          <w:sz w:val="22"/>
        </w:rPr>
        <w:t xml:space="preserve">（2023 年 11 月 5 日版本，ChatGPT-4） Query1: </w:t>
      </w:r>
      <w:r>
        <w:rPr>
          <w:i/>
          <w:sz w:val="22"/>
        </w:rPr>
        <w:t xml:space="preserve">&lt;插入您输入到人工智能工具中的准确措辞&gt; </w:t>
      </w:r>
      <w:r>
        <w:rPr>
          <w:sz w:val="22"/>
        </w:rPr>
        <w:t>Output: &lt;插入</w:t>
      </w:r>
      <w:r>
        <w:rPr>
          <w:i/>
          <w:sz w:val="22"/>
        </w:rPr>
        <w:t>人工智能</w:t>
      </w:r>
      <w:r>
        <w:rPr>
          <w:sz w:val="22"/>
        </w:rPr>
        <w:t>工具</w:t>
      </w:r>
      <w:r>
        <w:rPr>
          <w:i/>
          <w:sz w:val="22"/>
        </w:rPr>
        <w:t>的完整输出结果&gt;。</w:t>
      </w:r>
    </w:p>
    <w:p>
      <w:pPr>
        <w:pStyle w:val="8"/>
        <w:numPr>
          <w:ilvl w:val="0"/>
          <w:numId w:val="4"/>
        </w:numPr>
        <w:tabs>
          <w:tab w:val="left" w:pos="938"/>
        </w:tabs>
        <w:spacing w:before="253" w:after="0" w:line="253" w:lineRule="exact"/>
        <w:ind w:left="938" w:right="0" w:hanging="359"/>
        <w:jc w:val="left"/>
        <w:rPr>
          <w:sz w:val="22"/>
        </w:rPr>
      </w:pPr>
      <w:r>
        <w:rPr>
          <w:sz w:val="22"/>
        </w:rPr>
        <w:t xml:space="preserve">OpenAI </w:t>
      </w:r>
      <w:r>
        <w:rPr>
          <w:i/>
          <w:sz w:val="22"/>
        </w:rPr>
        <w:t>Ernie</w:t>
      </w:r>
      <w:r>
        <w:rPr>
          <w:sz w:val="22"/>
        </w:rPr>
        <w:t xml:space="preserve">（2023 年 11 月 5 日版本，Ernie </w:t>
      </w:r>
      <w:r>
        <w:rPr>
          <w:spacing w:val="-4"/>
          <w:sz w:val="22"/>
        </w:rPr>
        <w:t>4.0）</w:t>
      </w:r>
    </w:p>
    <w:p>
      <w:pPr>
        <w:spacing w:before="0"/>
        <w:ind w:left="939" w:right="1561" w:firstLine="0"/>
        <w:jc w:val="left"/>
        <w:rPr>
          <w:sz w:val="22"/>
        </w:rPr>
      </w:pPr>
      <w:r>
        <w:rPr>
          <w:sz w:val="22"/>
        </w:rPr>
        <w:t>查询 1：</w:t>
      </w:r>
      <w:r>
        <w:rPr>
          <w:i/>
          <w:sz w:val="22"/>
        </w:rPr>
        <w:t>&lt;</w:t>
      </w:r>
      <w:r>
        <w:rPr>
          <w:sz w:val="22"/>
        </w:rPr>
        <w:t>插入</w:t>
      </w:r>
      <w:r>
        <w:rPr>
          <w:i/>
          <w:sz w:val="22"/>
        </w:rPr>
        <w:t xml:space="preserve">随后输入到人工智能工具中的任何内容的准确措辞&gt; </w:t>
      </w:r>
      <w:r>
        <w:rPr>
          <w:sz w:val="22"/>
        </w:rPr>
        <w:t>输出：&lt;插入</w:t>
      </w:r>
      <w:r>
        <w:rPr>
          <w:i/>
          <w:sz w:val="22"/>
        </w:rPr>
        <w:t>第二个</w:t>
      </w:r>
      <w:r>
        <w:rPr>
          <w:sz w:val="22"/>
        </w:rPr>
        <w:t>查询</w:t>
      </w:r>
      <w:r>
        <w:rPr>
          <w:i/>
          <w:sz w:val="22"/>
        </w:rPr>
        <w:t>的完整输出内容&gt;。</w:t>
      </w:r>
    </w:p>
    <w:p>
      <w:pPr>
        <w:pStyle w:val="8"/>
        <w:numPr>
          <w:ilvl w:val="0"/>
          <w:numId w:val="4"/>
        </w:numPr>
        <w:tabs>
          <w:tab w:val="left" w:pos="938"/>
        </w:tabs>
        <w:spacing w:before="253" w:after="0" w:line="240" w:lineRule="auto"/>
        <w:ind w:left="938" w:right="0" w:hanging="359"/>
        <w:jc w:val="left"/>
        <w:rPr>
          <w:sz w:val="22"/>
        </w:rPr>
      </w:pPr>
      <w:r>
        <w:rPr>
          <w:sz w:val="22"/>
        </w:rPr>
        <w:t xml:space="preserve">Github </w:t>
      </w:r>
      <w:r>
        <w:rPr>
          <w:i/>
          <w:sz w:val="22"/>
        </w:rPr>
        <w:t>CoPilot</w:t>
      </w:r>
      <w:r>
        <w:rPr>
          <w:sz w:val="22"/>
        </w:rPr>
        <w:t>（2024 年 2 月 3 日</w:t>
      </w:r>
      <w:r>
        <w:rPr>
          <w:spacing w:val="-2"/>
          <w:sz w:val="22"/>
        </w:rPr>
        <w:t>版本）</w:t>
      </w:r>
    </w:p>
    <w:p>
      <w:pPr>
        <w:spacing w:before="0"/>
        <w:ind w:left="939" w:right="2813" w:firstLine="0"/>
        <w:jc w:val="left"/>
        <w:rPr>
          <w:sz w:val="22"/>
        </w:rPr>
      </w:pPr>
      <w:r>
        <w:rPr>
          <w:sz w:val="22"/>
        </w:rPr>
        <w:t>Query1：</w:t>
      </w:r>
      <w:r>
        <w:rPr>
          <w:i/>
          <w:sz w:val="22"/>
        </w:rPr>
        <w:t>&lt;</w:t>
      </w:r>
      <w:r>
        <w:rPr>
          <w:sz w:val="22"/>
        </w:rPr>
        <w:t>请</w:t>
      </w:r>
      <w:r>
        <w:rPr>
          <w:i/>
          <w:sz w:val="22"/>
        </w:rPr>
        <w:t xml:space="preserve">输入您输入人工智能工具的准确措辞&gt; </w:t>
      </w:r>
      <w:r>
        <w:rPr>
          <w:sz w:val="22"/>
        </w:rPr>
        <w:t>Output：&lt;请输入</w:t>
      </w:r>
      <w:r>
        <w:rPr>
          <w:i/>
          <w:sz w:val="22"/>
        </w:rPr>
        <w:t>人工智能</w:t>
      </w:r>
      <w:r>
        <w:rPr>
          <w:sz w:val="22"/>
        </w:rPr>
        <w:t>工具</w:t>
      </w:r>
      <w:r>
        <w:rPr>
          <w:i/>
          <w:sz w:val="22"/>
        </w:rPr>
        <w:t>的完整输出结果&gt;。</w:t>
      </w:r>
    </w:p>
    <w:p>
      <w:pPr>
        <w:pStyle w:val="8"/>
        <w:numPr>
          <w:ilvl w:val="0"/>
          <w:numId w:val="4"/>
        </w:numPr>
        <w:tabs>
          <w:tab w:val="left" w:pos="938"/>
        </w:tabs>
        <w:spacing w:before="252" w:after="0" w:line="240" w:lineRule="auto"/>
        <w:ind w:left="938" w:right="0" w:hanging="359"/>
        <w:jc w:val="left"/>
        <w:rPr>
          <w:sz w:val="22"/>
        </w:rPr>
      </w:pPr>
      <w:r>
        <w:rPr>
          <w:sz w:val="22"/>
        </w:rPr>
        <w:t>谷歌</w:t>
      </w:r>
      <w:r>
        <w:rPr>
          <w:i/>
          <w:sz w:val="22"/>
        </w:rPr>
        <w:t>巴德</w:t>
      </w:r>
      <w:r>
        <w:rPr>
          <w:sz w:val="22"/>
        </w:rPr>
        <w:t xml:space="preserve">（2024 年 2 月 2 </w:t>
      </w:r>
      <w:r>
        <w:rPr>
          <w:spacing w:val="-2"/>
          <w:sz w:val="22"/>
        </w:rPr>
        <w:t>日版）</w:t>
      </w:r>
    </w:p>
    <w:p>
      <w:pPr>
        <w:spacing w:before="1"/>
        <w:ind w:left="939" w:right="3921" w:firstLine="0"/>
        <w:jc w:val="left"/>
        <w:rPr>
          <w:sz w:val="22"/>
        </w:rPr>
      </w:pPr>
      <w:r>
        <w:rPr>
          <w:sz w:val="22"/>
        </w:rPr>
        <w:t>查询：&lt;请输入</w:t>
      </w:r>
      <w:r>
        <w:rPr>
          <w:i/>
          <w:sz w:val="22"/>
        </w:rPr>
        <w:t xml:space="preserve">查询的准确措辞&gt; </w:t>
      </w:r>
      <w:r>
        <w:rPr>
          <w:sz w:val="22"/>
        </w:rPr>
        <w:t>输出：&lt;请输入</w:t>
      </w:r>
      <w:r>
        <w:rPr>
          <w:i/>
          <w:sz w:val="22"/>
        </w:rPr>
        <w:t>人工智能</w:t>
      </w:r>
      <w:r>
        <w:rPr>
          <w:sz w:val="22"/>
        </w:rPr>
        <w:t>工具</w:t>
      </w:r>
      <w:r>
        <w:rPr>
          <w:i/>
          <w:sz w:val="22"/>
        </w:rPr>
        <w:t xml:space="preserve">的完整输出信息&gt; </w:t>
      </w:r>
      <w:r>
        <w:rPr>
          <w:sz w:val="22"/>
        </w:rPr>
        <w:t>查询：&lt;请输入</w:t>
      </w:r>
      <w:r>
        <w:rPr>
          <w:i/>
          <w:sz w:val="22"/>
        </w:rPr>
        <w:t xml:space="preserve">查询的准确措辞&gt; </w:t>
      </w:r>
      <w:r>
        <w:rPr>
          <w:sz w:val="22"/>
        </w:rPr>
        <w:t>输出：</w:t>
      </w:r>
      <w:r>
        <w:rPr>
          <w:i/>
          <w:sz w:val="22"/>
        </w:rPr>
        <w:t>&lt;</w:t>
      </w:r>
      <w:r>
        <w:rPr>
          <w:sz w:val="22"/>
        </w:rPr>
        <w:t>请输入</w:t>
      </w:r>
      <w:r>
        <w:rPr>
          <w:i/>
          <w:sz w:val="22"/>
        </w:rPr>
        <w:t>人工智能工具的完整输出信息</w:t>
      </w:r>
    </w:p>
    <w:sectPr>
      <w:footerReference r:id="rId7" w:type="default"/>
      <w:pgSz w:w="12240" w:h="15840"/>
      <w:pgMar w:top="1180" w:right="1220" w:bottom="280" w:left="1220"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Noto Sans Display">
    <w:altName w:val="Segoe Print"/>
    <w:panose1 w:val="00000000000000000000"/>
    <w:charset w:val="01"/>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s">
          <w:drawing>
            <wp:anchor distT="0" distB="0" distL="0" distR="0" simplePos="0" relativeHeight="251659264" behindDoc="1" locked="0" layoutInCell="1" allowOverlap="1">
              <wp:simplePos x="0" y="0"/>
              <wp:positionH relativeFrom="page">
                <wp:posOffset>1657350</wp:posOffset>
              </wp:positionH>
              <wp:positionV relativeFrom="page">
                <wp:posOffset>9446895</wp:posOffset>
              </wp:positionV>
              <wp:extent cx="4458970" cy="167640"/>
              <wp:effectExtent l="0" t="0" r="0" b="0"/>
              <wp:wrapNone/>
              <wp:docPr id="1" name="Textbox 1"/>
              <wp:cNvGraphicFramePr/>
              <a:graphic xmlns:a="http://schemas.openxmlformats.org/drawingml/2006/main">
                <a:graphicData uri="http://schemas.microsoft.com/office/word/2010/wordprocessingShape">
                  <wps:wsp>
                    <wps:cNvSpPr txBox="1"/>
                    <wps:spPr>
                      <a:xfrm>
                        <a:off x="0" y="0"/>
                        <a:ext cx="4458970" cy="167640"/>
                      </a:xfrm>
                      <a:prstGeom prst="rect">
                        <a:avLst/>
                      </a:prstGeom>
                    </wps:spPr>
                    <wps:txbx>
                      <w:txbxContent>
                        <w:p>
                          <w:pPr>
                            <w:spacing w:before="13"/>
                            <w:ind w:left="20" w:right="0" w:firstLine="0"/>
                            <w:jc w:val="left"/>
                            <w:rPr>
                              <w:sz w:val="20"/>
                            </w:rPr>
                          </w:pPr>
                          <w:r>
                            <w:rPr>
                              <w:sz w:val="20"/>
                            </w:rPr>
                            <w:t xml:space="preserve">| ©2024 by COMAP, Inc.| </w:t>
                          </w:r>
                          <w:r>
                            <w:fldChar w:fldCharType="begin"/>
                          </w:r>
                          <w:r>
                            <w:instrText xml:space="preserve"> HYPERLINK "http://www.comap.org/" \h </w:instrText>
                          </w:r>
                          <w:r>
                            <w:fldChar w:fldCharType="separate"/>
                          </w:r>
                          <w:r>
                            <w:rPr>
                              <w:sz w:val="20"/>
                            </w:rPr>
                            <w:t>www.comap.org</w:t>
                          </w:r>
                          <w:r>
                            <w:rPr>
                              <w:sz w:val="20"/>
                            </w:rPr>
                            <w:fldChar w:fldCharType="end"/>
                          </w:r>
                          <w:r>
                            <w:rPr>
                              <w:sz w:val="20"/>
                            </w:rPr>
                            <w:t xml:space="preserve"> | </w:t>
                          </w:r>
                          <w:r>
                            <w:fldChar w:fldCharType="begin"/>
                          </w:r>
                          <w:r>
                            <w:instrText xml:space="preserve"> HYPERLINK "http://www.mathmodels.org/" \h </w:instrText>
                          </w:r>
                          <w:r>
                            <w:fldChar w:fldCharType="separate"/>
                          </w:r>
                          <w:r>
                            <w:rPr>
                              <w:sz w:val="20"/>
                            </w:rPr>
                            <w:t>www.mathmodels.org</w:t>
                          </w:r>
                          <w:r>
                            <w:rPr>
                              <w:sz w:val="20"/>
                            </w:rPr>
                            <w:fldChar w:fldCharType="end"/>
                          </w:r>
                          <w:r>
                            <w:rPr>
                              <w:spacing w:val="-10"/>
                              <w:sz w:val="20"/>
                            </w:rPr>
                            <w:t xml:space="preserve"> | </w:t>
                          </w:r>
                          <w:r>
                            <w:fldChar w:fldCharType="begin"/>
                          </w:r>
                          <w:r>
                            <w:instrText xml:space="preserve"> HYPERLINK "mailto:info@comap.org" \h </w:instrText>
                          </w:r>
                          <w:r>
                            <w:fldChar w:fldCharType="separate"/>
                          </w:r>
                          <w:r>
                            <w:rPr>
                              <w:sz w:val="20"/>
                            </w:rPr>
                            <w:t>info@comap.org</w:t>
                          </w:r>
                          <w:r>
                            <w:rPr>
                              <w:sz w:val="20"/>
                            </w:rPr>
                            <w:fldChar w:fldCharType="end"/>
                          </w:r>
                          <w:r>
                            <w:rPr>
                              <w:sz w:val="20"/>
                            </w:rPr>
                            <w:t xml:space="preserve"> |</w:t>
                          </w:r>
                        </w:p>
                      </w:txbxContent>
                    </wps:txbx>
                    <wps:bodyPr wrap="square" lIns="0" tIns="0" rIns="0" bIns="0" rtlCol="0">
                      <a:noAutofit/>
                    </wps:bodyPr>
                  </wps:wsp>
                </a:graphicData>
              </a:graphic>
            </wp:anchor>
          </w:drawing>
        </mc:Choice>
        <mc:Fallback>
          <w:pict>
            <v:shape id="Textbox 1" o:spid="_x0000_s1026" o:spt="202" type="#_x0000_t202" style="position:absolute;left:0pt;margin-left:130.5pt;margin-top:743.85pt;height:13.2pt;width:351.1pt;mso-position-horizontal-relative:page;mso-position-vertical-relative:page;z-index:-251657216;mso-width-relative:page;mso-height-relative:page;" filled="f" stroked="f" coordsize="21600,21600" o:gfxdata="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UabQwtwAAAANAQAADwAAAAAAAAABACAAAAAiAAAAZHJzL2Rvd25yZXYueG1sUEsBAhQAFAAA&#10;AAgAh07iQOjAGzqyAQAAdAMAAA4AAAAAAAAAAQAgAAAAKwEAAGRycy9lMm9Eb2MueG1sUEsFBgAA&#10;AAAGAAYAWQEAAE8FAAAAAA==&#10;">
              <v:fill on="f" focussize="0,0"/>
              <v:stroke on="f"/>
              <v:imagedata o:title=""/>
              <o:lock v:ext="edit" aspectratio="f"/>
              <v:textbox inset="0mm,0mm,0mm,0mm">
                <w:txbxContent>
                  <w:p>
                    <w:pPr>
                      <w:spacing w:before="13"/>
                      <w:ind w:left="20" w:right="0" w:firstLine="0"/>
                      <w:jc w:val="left"/>
                      <w:rPr>
                        <w:sz w:val="20"/>
                      </w:rPr>
                    </w:pPr>
                    <w:r>
                      <w:rPr>
                        <w:sz w:val="20"/>
                      </w:rPr>
                      <w:t xml:space="preserve">| ©2024 by COMAP, Inc.| </w:t>
                    </w:r>
                    <w:r>
                      <w:fldChar w:fldCharType="begin"/>
                    </w:r>
                    <w:r>
                      <w:instrText xml:space="preserve"> HYPERLINK "http://www.comap.org/" \h </w:instrText>
                    </w:r>
                    <w:r>
                      <w:fldChar w:fldCharType="separate"/>
                    </w:r>
                    <w:r>
                      <w:rPr>
                        <w:sz w:val="20"/>
                      </w:rPr>
                      <w:t>www.comap.org</w:t>
                    </w:r>
                    <w:r>
                      <w:rPr>
                        <w:sz w:val="20"/>
                      </w:rPr>
                      <w:fldChar w:fldCharType="end"/>
                    </w:r>
                    <w:r>
                      <w:rPr>
                        <w:sz w:val="20"/>
                      </w:rPr>
                      <w:t xml:space="preserve"> | </w:t>
                    </w:r>
                    <w:r>
                      <w:fldChar w:fldCharType="begin"/>
                    </w:r>
                    <w:r>
                      <w:instrText xml:space="preserve"> HYPERLINK "http://www.mathmodels.org/" \h </w:instrText>
                    </w:r>
                    <w:r>
                      <w:fldChar w:fldCharType="separate"/>
                    </w:r>
                    <w:r>
                      <w:rPr>
                        <w:sz w:val="20"/>
                      </w:rPr>
                      <w:t>www.mathmodels.org</w:t>
                    </w:r>
                    <w:r>
                      <w:rPr>
                        <w:sz w:val="20"/>
                      </w:rPr>
                      <w:fldChar w:fldCharType="end"/>
                    </w:r>
                    <w:r>
                      <w:rPr>
                        <w:spacing w:val="-10"/>
                        <w:sz w:val="20"/>
                      </w:rPr>
                      <w:t xml:space="preserve"> | </w:t>
                    </w:r>
                    <w:r>
                      <w:fldChar w:fldCharType="begin"/>
                    </w:r>
                    <w:r>
                      <w:instrText xml:space="preserve"> HYPERLINK "mailto:info@comap.org" \h </w:instrText>
                    </w:r>
                    <w:r>
                      <w:fldChar w:fldCharType="separate"/>
                    </w:r>
                    <w:r>
                      <w:rPr>
                        <w:sz w:val="20"/>
                      </w:rPr>
                      <w:t>info@comap.org</w:t>
                    </w:r>
                    <w:r>
                      <w:rPr>
                        <w:sz w:val="20"/>
                      </w:rPr>
                      <w:fldChar w:fldCharType="end"/>
                    </w:r>
                    <w:r>
                      <w:rPr>
                        <w:sz w:val="20"/>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48C179"/>
    <w:multiLevelType w:val="multilevel"/>
    <w:tmpl w:val="0248C179"/>
    <w:lvl w:ilvl="0" w:tentative="0">
      <w:start w:val="1"/>
      <w:numFmt w:val="decimal"/>
      <w:lvlText w:val="%1."/>
      <w:lvlJc w:val="left"/>
      <w:pPr>
        <w:ind w:left="939" w:hanging="361"/>
        <w:jc w:val="left"/>
      </w:pPr>
      <w:rPr>
        <w:rFonts w:hint="default" w:ascii="Times New Roman" w:hAnsi="Times New Roman" w:eastAsia="Times New Roman" w:cs="Times New Roman"/>
        <w:b w:val="0"/>
        <w:bCs w:val="0"/>
        <w:i w:val="0"/>
        <w:iCs w:val="0"/>
        <w:spacing w:val="0"/>
        <w:w w:val="99"/>
        <w:sz w:val="22"/>
        <w:szCs w:val="22"/>
        <w:lang w:val="en-US" w:eastAsia="en-US" w:bidi="ar-SA"/>
      </w:rPr>
    </w:lvl>
    <w:lvl w:ilvl="1" w:tentative="0">
      <w:start w:val="0"/>
      <w:numFmt w:val="bullet"/>
      <w:lvlText w:val="•"/>
      <w:lvlJc w:val="left"/>
      <w:pPr>
        <w:ind w:left="1826" w:hanging="361"/>
      </w:pPr>
      <w:rPr>
        <w:rFonts w:hint="default"/>
        <w:lang w:val="en-US" w:eastAsia="en-US" w:bidi="ar-SA"/>
      </w:rPr>
    </w:lvl>
    <w:lvl w:ilvl="2" w:tentative="0">
      <w:start w:val="0"/>
      <w:numFmt w:val="bullet"/>
      <w:lvlText w:val="•"/>
      <w:lvlJc w:val="left"/>
      <w:pPr>
        <w:ind w:left="2712" w:hanging="361"/>
      </w:pPr>
      <w:rPr>
        <w:rFonts w:hint="default"/>
        <w:lang w:val="en-US" w:eastAsia="en-US" w:bidi="ar-SA"/>
      </w:rPr>
    </w:lvl>
    <w:lvl w:ilvl="3" w:tentative="0">
      <w:start w:val="0"/>
      <w:numFmt w:val="bullet"/>
      <w:lvlText w:val="•"/>
      <w:lvlJc w:val="left"/>
      <w:pPr>
        <w:ind w:left="3598" w:hanging="361"/>
      </w:pPr>
      <w:rPr>
        <w:rFonts w:hint="default"/>
        <w:lang w:val="en-US" w:eastAsia="en-US" w:bidi="ar-SA"/>
      </w:rPr>
    </w:lvl>
    <w:lvl w:ilvl="4" w:tentative="0">
      <w:start w:val="0"/>
      <w:numFmt w:val="bullet"/>
      <w:lvlText w:val="•"/>
      <w:lvlJc w:val="left"/>
      <w:pPr>
        <w:ind w:left="4484" w:hanging="361"/>
      </w:pPr>
      <w:rPr>
        <w:rFonts w:hint="default"/>
        <w:lang w:val="en-US" w:eastAsia="en-US" w:bidi="ar-SA"/>
      </w:rPr>
    </w:lvl>
    <w:lvl w:ilvl="5" w:tentative="0">
      <w:start w:val="0"/>
      <w:numFmt w:val="bullet"/>
      <w:lvlText w:val="•"/>
      <w:lvlJc w:val="left"/>
      <w:pPr>
        <w:ind w:left="5370" w:hanging="361"/>
      </w:pPr>
      <w:rPr>
        <w:rFonts w:hint="default"/>
        <w:lang w:val="en-US" w:eastAsia="en-US" w:bidi="ar-SA"/>
      </w:rPr>
    </w:lvl>
    <w:lvl w:ilvl="6" w:tentative="0">
      <w:start w:val="0"/>
      <w:numFmt w:val="bullet"/>
      <w:lvlText w:val="•"/>
      <w:lvlJc w:val="left"/>
      <w:pPr>
        <w:ind w:left="6256" w:hanging="361"/>
      </w:pPr>
      <w:rPr>
        <w:rFonts w:hint="default"/>
        <w:lang w:val="en-US" w:eastAsia="en-US" w:bidi="ar-SA"/>
      </w:rPr>
    </w:lvl>
    <w:lvl w:ilvl="7" w:tentative="0">
      <w:start w:val="0"/>
      <w:numFmt w:val="bullet"/>
      <w:lvlText w:val="•"/>
      <w:lvlJc w:val="left"/>
      <w:pPr>
        <w:ind w:left="7142" w:hanging="361"/>
      </w:pPr>
      <w:rPr>
        <w:rFonts w:hint="default"/>
        <w:lang w:val="en-US" w:eastAsia="en-US" w:bidi="ar-SA"/>
      </w:rPr>
    </w:lvl>
    <w:lvl w:ilvl="8" w:tentative="0">
      <w:start w:val="0"/>
      <w:numFmt w:val="bullet"/>
      <w:lvlText w:val="•"/>
      <w:lvlJc w:val="left"/>
      <w:pPr>
        <w:ind w:left="8028" w:hanging="361"/>
      </w:pPr>
      <w:rPr>
        <w:rFonts w:hint="default"/>
        <w:lang w:val="en-US" w:eastAsia="en-US" w:bidi="ar-SA"/>
      </w:rPr>
    </w:lvl>
  </w:abstractNum>
  <w:abstractNum w:abstractNumId="1">
    <w:nsid w:val="03D62ECE"/>
    <w:multiLevelType w:val="multilevel"/>
    <w:tmpl w:val="03D62ECE"/>
    <w:lvl w:ilvl="0" w:tentative="0">
      <w:start w:val="0"/>
      <w:numFmt w:val="bullet"/>
      <w:lvlText w:val="•"/>
      <w:lvlJc w:val="left"/>
      <w:pPr>
        <w:ind w:left="940" w:hanging="361"/>
      </w:pPr>
      <w:rPr>
        <w:rFonts w:hint="default" w:ascii="Calibri" w:hAnsi="Calibri" w:eastAsia="Calibri" w:cs="Calibri"/>
        <w:b w:val="0"/>
        <w:bCs w:val="0"/>
        <w:i w:val="0"/>
        <w:iCs w:val="0"/>
        <w:spacing w:val="0"/>
        <w:w w:val="92"/>
        <w:sz w:val="22"/>
        <w:szCs w:val="22"/>
        <w:lang w:val="en-US" w:eastAsia="en-US" w:bidi="ar-SA"/>
      </w:rPr>
    </w:lvl>
    <w:lvl w:ilvl="1" w:tentative="0">
      <w:start w:val="0"/>
      <w:numFmt w:val="bullet"/>
      <w:lvlText w:val="•"/>
      <w:lvlJc w:val="left"/>
      <w:pPr>
        <w:ind w:left="1826" w:hanging="361"/>
      </w:pPr>
      <w:rPr>
        <w:rFonts w:hint="default"/>
        <w:lang w:val="en-US" w:eastAsia="en-US" w:bidi="ar-SA"/>
      </w:rPr>
    </w:lvl>
    <w:lvl w:ilvl="2" w:tentative="0">
      <w:start w:val="0"/>
      <w:numFmt w:val="bullet"/>
      <w:lvlText w:val="•"/>
      <w:lvlJc w:val="left"/>
      <w:pPr>
        <w:ind w:left="2712" w:hanging="361"/>
      </w:pPr>
      <w:rPr>
        <w:rFonts w:hint="default"/>
        <w:lang w:val="en-US" w:eastAsia="en-US" w:bidi="ar-SA"/>
      </w:rPr>
    </w:lvl>
    <w:lvl w:ilvl="3" w:tentative="0">
      <w:start w:val="0"/>
      <w:numFmt w:val="bullet"/>
      <w:lvlText w:val="•"/>
      <w:lvlJc w:val="left"/>
      <w:pPr>
        <w:ind w:left="3598" w:hanging="361"/>
      </w:pPr>
      <w:rPr>
        <w:rFonts w:hint="default"/>
        <w:lang w:val="en-US" w:eastAsia="en-US" w:bidi="ar-SA"/>
      </w:rPr>
    </w:lvl>
    <w:lvl w:ilvl="4" w:tentative="0">
      <w:start w:val="0"/>
      <w:numFmt w:val="bullet"/>
      <w:lvlText w:val="•"/>
      <w:lvlJc w:val="left"/>
      <w:pPr>
        <w:ind w:left="4484" w:hanging="361"/>
      </w:pPr>
      <w:rPr>
        <w:rFonts w:hint="default"/>
        <w:lang w:val="en-US" w:eastAsia="en-US" w:bidi="ar-SA"/>
      </w:rPr>
    </w:lvl>
    <w:lvl w:ilvl="5" w:tentative="0">
      <w:start w:val="0"/>
      <w:numFmt w:val="bullet"/>
      <w:lvlText w:val="•"/>
      <w:lvlJc w:val="left"/>
      <w:pPr>
        <w:ind w:left="5370" w:hanging="361"/>
      </w:pPr>
      <w:rPr>
        <w:rFonts w:hint="default"/>
        <w:lang w:val="en-US" w:eastAsia="en-US" w:bidi="ar-SA"/>
      </w:rPr>
    </w:lvl>
    <w:lvl w:ilvl="6" w:tentative="0">
      <w:start w:val="0"/>
      <w:numFmt w:val="bullet"/>
      <w:lvlText w:val="•"/>
      <w:lvlJc w:val="left"/>
      <w:pPr>
        <w:ind w:left="6256" w:hanging="361"/>
      </w:pPr>
      <w:rPr>
        <w:rFonts w:hint="default"/>
        <w:lang w:val="en-US" w:eastAsia="en-US" w:bidi="ar-SA"/>
      </w:rPr>
    </w:lvl>
    <w:lvl w:ilvl="7" w:tentative="0">
      <w:start w:val="0"/>
      <w:numFmt w:val="bullet"/>
      <w:lvlText w:val="•"/>
      <w:lvlJc w:val="left"/>
      <w:pPr>
        <w:ind w:left="7142" w:hanging="361"/>
      </w:pPr>
      <w:rPr>
        <w:rFonts w:hint="default"/>
        <w:lang w:val="en-US" w:eastAsia="en-US" w:bidi="ar-SA"/>
      </w:rPr>
    </w:lvl>
    <w:lvl w:ilvl="8" w:tentative="0">
      <w:start w:val="0"/>
      <w:numFmt w:val="bullet"/>
      <w:lvlText w:val="•"/>
      <w:lvlJc w:val="left"/>
      <w:pPr>
        <w:ind w:left="8028" w:hanging="361"/>
      </w:pPr>
      <w:rPr>
        <w:rFonts w:hint="default"/>
        <w:lang w:val="en-US" w:eastAsia="en-US" w:bidi="ar-SA"/>
      </w:rPr>
    </w:lvl>
  </w:abstractNum>
  <w:abstractNum w:abstractNumId="2">
    <w:nsid w:val="25B654F3"/>
    <w:multiLevelType w:val="multilevel"/>
    <w:tmpl w:val="25B654F3"/>
    <w:lvl w:ilvl="0" w:tentative="0">
      <w:start w:val="1"/>
      <w:numFmt w:val="decimal"/>
      <w:lvlText w:val="[%1]"/>
      <w:lvlJc w:val="left"/>
      <w:pPr>
        <w:ind w:left="220" w:hanging="312"/>
        <w:jc w:val="left"/>
      </w:pPr>
      <w:rPr>
        <w:rFonts w:hint="default" w:ascii="Times New Roman" w:hAnsi="Times New Roman" w:eastAsia="Times New Roman" w:cs="Times New Roman"/>
        <w:b/>
        <w:bCs/>
        <w:i w:val="0"/>
        <w:iCs w:val="0"/>
        <w:color w:val="0000FF"/>
        <w:spacing w:val="-2"/>
        <w:w w:val="100"/>
        <w:sz w:val="22"/>
        <w:szCs w:val="22"/>
        <w:lang w:val="en-US" w:eastAsia="en-US" w:bidi="ar-SA"/>
      </w:rPr>
    </w:lvl>
    <w:lvl w:ilvl="1" w:tentative="0">
      <w:start w:val="1"/>
      <w:numFmt w:val="decimal"/>
      <w:lvlText w:val="%2."/>
      <w:lvlJc w:val="left"/>
      <w:pPr>
        <w:ind w:left="1060"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tentative="0">
      <w:start w:val="0"/>
      <w:numFmt w:val="bullet"/>
      <w:lvlText w:val="•"/>
      <w:lvlJc w:val="left"/>
      <w:pPr>
        <w:ind w:left="2031" w:hanging="240"/>
      </w:pPr>
      <w:rPr>
        <w:rFonts w:hint="default"/>
        <w:lang w:val="en-US" w:eastAsia="en-US" w:bidi="ar-SA"/>
      </w:rPr>
    </w:lvl>
    <w:lvl w:ilvl="3" w:tentative="0">
      <w:start w:val="0"/>
      <w:numFmt w:val="bullet"/>
      <w:lvlText w:val="•"/>
      <w:lvlJc w:val="left"/>
      <w:pPr>
        <w:ind w:left="3002" w:hanging="240"/>
      </w:pPr>
      <w:rPr>
        <w:rFonts w:hint="default"/>
        <w:lang w:val="en-US" w:eastAsia="en-US" w:bidi="ar-SA"/>
      </w:rPr>
    </w:lvl>
    <w:lvl w:ilvl="4" w:tentative="0">
      <w:start w:val="0"/>
      <w:numFmt w:val="bullet"/>
      <w:lvlText w:val="•"/>
      <w:lvlJc w:val="left"/>
      <w:pPr>
        <w:ind w:left="3973" w:hanging="240"/>
      </w:pPr>
      <w:rPr>
        <w:rFonts w:hint="default"/>
        <w:lang w:val="en-US" w:eastAsia="en-US" w:bidi="ar-SA"/>
      </w:rPr>
    </w:lvl>
    <w:lvl w:ilvl="5" w:tentative="0">
      <w:start w:val="0"/>
      <w:numFmt w:val="bullet"/>
      <w:lvlText w:val="•"/>
      <w:lvlJc w:val="left"/>
      <w:pPr>
        <w:ind w:left="4944" w:hanging="240"/>
      </w:pPr>
      <w:rPr>
        <w:rFonts w:hint="default"/>
        <w:lang w:val="en-US" w:eastAsia="en-US" w:bidi="ar-SA"/>
      </w:rPr>
    </w:lvl>
    <w:lvl w:ilvl="6" w:tentative="0">
      <w:start w:val="0"/>
      <w:numFmt w:val="bullet"/>
      <w:lvlText w:val="•"/>
      <w:lvlJc w:val="left"/>
      <w:pPr>
        <w:ind w:left="5915" w:hanging="240"/>
      </w:pPr>
      <w:rPr>
        <w:rFonts w:hint="default"/>
        <w:lang w:val="en-US" w:eastAsia="en-US" w:bidi="ar-SA"/>
      </w:rPr>
    </w:lvl>
    <w:lvl w:ilvl="7" w:tentative="0">
      <w:start w:val="0"/>
      <w:numFmt w:val="bullet"/>
      <w:lvlText w:val="•"/>
      <w:lvlJc w:val="left"/>
      <w:pPr>
        <w:ind w:left="6886" w:hanging="240"/>
      </w:pPr>
      <w:rPr>
        <w:rFonts w:hint="default"/>
        <w:lang w:val="en-US" w:eastAsia="en-US" w:bidi="ar-SA"/>
      </w:rPr>
    </w:lvl>
    <w:lvl w:ilvl="8" w:tentative="0">
      <w:start w:val="0"/>
      <w:numFmt w:val="bullet"/>
      <w:lvlText w:val="•"/>
      <w:lvlJc w:val="left"/>
      <w:pPr>
        <w:ind w:left="7857" w:hanging="240"/>
      </w:pPr>
      <w:rPr>
        <w:rFonts w:hint="default"/>
        <w:lang w:val="en-US" w:eastAsia="en-US" w:bidi="ar-SA"/>
      </w:rPr>
    </w:lvl>
  </w:abstractNum>
  <w:abstractNum w:abstractNumId="3">
    <w:nsid w:val="72183CF9"/>
    <w:multiLevelType w:val="multilevel"/>
    <w:tmpl w:val="72183CF9"/>
    <w:lvl w:ilvl="0" w:tentative="0">
      <w:start w:val="0"/>
      <w:numFmt w:val="bullet"/>
      <w:lvlText w:val="•"/>
      <w:lvlJc w:val="left"/>
      <w:pPr>
        <w:ind w:left="1060" w:hanging="240"/>
      </w:pPr>
      <w:rPr>
        <w:rFonts w:hint="default" w:ascii="Calibri" w:hAnsi="Calibri" w:eastAsia="Calibri" w:cs="Calibri"/>
        <w:b w:val="0"/>
        <w:bCs w:val="0"/>
        <w:i w:val="0"/>
        <w:iCs w:val="0"/>
        <w:spacing w:val="0"/>
        <w:w w:val="92"/>
        <w:sz w:val="20"/>
        <w:szCs w:val="20"/>
        <w:lang w:val="en-US" w:eastAsia="en-US" w:bidi="ar-SA"/>
      </w:rPr>
    </w:lvl>
    <w:lvl w:ilvl="1" w:tentative="0">
      <w:start w:val="0"/>
      <w:numFmt w:val="bullet"/>
      <w:lvlText w:val="•"/>
      <w:lvlJc w:val="left"/>
      <w:pPr>
        <w:ind w:left="1934" w:hanging="240"/>
      </w:pPr>
      <w:rPr>
        <w:rFonts w:hint="default"/>
        <w:lang w:val="en-US" w:eastAsia="en-US" w:bidi="ar-SA"/>
      </w:rPr>
    </w:lvl>
    <w:lvl w:ilvl="2" w:tentative="0">
      <w:start w:val="0"/>
      <w:numFmt w:val="bullet"/>
      <w:lvlText w:val="•"/>
      <w:lvlJc w:val="left"/>
      <w:pPr>
        <w:ind w:left="2808" w:hanging="240"/>
      </w:pPr>
      <w:rPr>
        <w:rFonts w:hint="default"/>
        <w:lang w:val="en-US" w:eastAsia="en-US" w:bidi="ar-SA"/>
      </w:rPr>
    </w:lvl>
    <w:lvl w:ilvl="3" w:tentative="0">
      <w:start w:val="0"/>
      <w:numFmt w:val="bullet"/>
      <w:lvlText w:val="•"/>
      <w:lvlJc w:val="left"/>
      <w:pPr>
        <w:ind w:left="3682" w:hanging="240"/>
      </w:pPr>
      <w:rPr>
        <w:rFonts w:hint="default"/>
        <w:lang w:val="en-US" w:eastAsia="en-US" w:bidi="ar-SA"/>
      </w:rPr>
    </w:lvl>
    <w:lvl w:ilvl="4" w:tentative="0">
      <w:start w:val="0"/>
      <w:numFmt w:val="bullet"/>
      <w:lvlText w:val="•"/>
      <w:lvlJc w:val="left"/>
      <w:pPr>
        <w:ind w:left="4556" w:hanging="240"/>
      </w:pPr>
      <w:rPr>
        <w:rFonts w:hint="default"/>
        <w:lang w:val="en-US" w:eastAsia="en-US" w:bidi="ar-SA"/>
      </w:rPr>
    </w:lvl>
    <w:lvl w:ilvl="5" w:tentative="0">
      <w:start w:val="0"/>
      <w:numFmt w:val="bullet"/>
      <w:lvlText w:val="•"/>
      <w:lvlJc w:val="left"/>
      <w:pPr>
        <w:ind w:left="5430" w:hanging="240"/>
      </w:pPr>
      <w:rPr>
        <w:rFonts w:hint="default"/>
        <w:lang w:val="en-US" w:eastAsia="en-US" w:bidi="ar-SA"/>
      </w:rPr>
    </w:lvl>
    <w:lvl w:ilvl="6" w:tentative="0">
      <w:start w:val="0"/>
      <w:numFmt w:val="bullet"/>
      <w:lvlText w:val="•"/>
      <w:lvlJc w:val="left"/>
      <w:pPr>
        <w:ind w:left="6304" w:hanging="240"/>
      </w:pPr>
      <w:rPr>
        <w:rFonts w:hint="default"/>
        <w:lang w:val="en-US" w:eastAsia="en-US" w:bidi="ar-SA"/>
      </w:rPr>
    </w:lvl>
    <w:lvl w:ilvl="7" w:tentative="0">
      <w:start w:val="0"/>
      <w:numFmt w:val="bullet"/>
      <w:lvlText w:val="•"/>
      <w:lvlJc w:val="left"/>
      <w:pPr>
        <w:ind w:left="7178" w:hanging="240"/>
      </w:pPr>
      <w:rPr>
        <w:rFonts w:hint="default"/>
        <w:lang w:val="en-US" w:eastAsia="en-US" w:bidi="ar-SA"/>
      </w:rPr>
    </w:lvl>
    <w:lvl w:ilvl="8" w:tentative="0">
      <w:start w:val="0"/>
      <w:numFmt w:val="bullet"/>
      <w:lvlText w:val="•"/>
      <w:lvlJc w:val="left"/>
      <w:pPr>
        <w:ind w:left="8052" w:hanging="240"/>
      </w:pPr>
      <w:rPr>
        <w:rFonts w:hint="default"/>
        <w:lang w:val="en-US" w:eastAsia="en-US" w:bidi="ar-SA"/>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useFELayout/>
    <w:compatSetting w:name="compatibilityMode" w:uri="http://schemas.microsoft.com/office/word" w:val="14"/>
  </w:compat>
  <w:docVars>
    <w:docVar w:name="commondata" w:val="eyJoZGlkIjoiZGM4MTA0YWNlOGNkZTczNmQ5MmY3OWU5MzE5MTI3ZjAifQ=="/>
  </w:docVars>
  <w:rsids>
    <w:rsidRoot w:val="00000000"/>
    <w:rsid w:val="27A22E31"/>
    <w:rsid w:val="2F2F5BFD"/>
    <w:rsid w:val="35FE39F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autoRedefine/>
    <w:qFormat/>
    <w:uiPriority w:val="1"/>
    <w:pPr>
      <w:ind w:left="220"/>
      <w:outlineLvl w:val="1"/>
    </w:pPr>
    <w:rPr>
      <w:rFonts w:ascii="Times New Roman" w:hAnsi="Times New Roman" w:eastAsia="Times New Roman" w:cs="Times New Roman"/>
      <w:b/>
      <w:bCs/>
      <w:sz w:val="24"/>
      <w:szCs w:val="24"/>
      <w:lang w:val="en-US" w:eastAsia="en-US" w:bidi="ar-SA"/>
    </w:rPr>
  </w:style>
  <w:style w:type="paragraph" w:styleId="3">
    <w:name w:val="heading 2"/>
    <w:basedOn w:val="1"/>
    <w:autoRedefine/>
    <w:qFormat/>
    <w:uiPriority w:val="1"/>
    <w:pPr>
      <w:ind w:left="220"/>
      <w:outlineLvl w:val="2"/>
    </w:pPr>
    <w:rPr>
      <w:rFonts w:ascii="Times New Roman" w:hAnsi="Times New Roman" w:eastAsia="Times New Roman" w:cs="Times New Roman"/>
      <w:b/>
      <w:bCs/>
      <w:sz w:val="22"/>
      <w:szCs w:val="22"/>
      <w:lang w:val="en-US" w:eastAsia="en-US" w:bidi="ar-SA"/>
    </w:rPr>
  </w:style>
  <w:style w:type="character" w:default="1" w:styleId="6">
    <w:name w:val="Default Paragraph Font"/>
    <w:semiHidden/>
    <w:unhideWhenUsed/>
    <w:uiPriority w:val="1"/>
  </w:style>
  <w:style w:type="table" w:default="1" w:styleId="5">
    <w:name w:val="Normal Table"/>
    <w:autoRedefine/>
    <w:semiHidden/>
    <w:qFormat/>
    <w:uiPriority w:val="0"/>
    <w:tblPr>
      <w:tblCellMar>
        <w:top w:w="0" w:type="dxa"/>
        <w:left w:w="108" w:type="dxa"/>
        <w:bottom w:w="0" w:type="dxa"/>
        <w:right w:w="108" w:type="dxa"/>
      </w:tblCellMar>
    </w:tblPr>
  </w:style>
  <w:style w:type="paragraph" w:styleId="4">
    <w:name w:val="Body Text"/>
    <w:basedOn w:val="1"/>
    <w:autoRedefine/>
    <w:qFormat/>
    <w:uiPriority w:val="1"/>
    <w:rPr>
      <w:rFonts w:ascii="Times New Roman" w:hAnsi="Times New Roman" w:eastAsia="Times New Roman" w:cs="Times New Roman"/>
      <w:sz w:val="22"/>
      <w:szCs w:val="22"/>
      <w:lang w:val="en-US" w:eastAsia="en-US" w:bidi="ar-SA"/>
    </w:rPr>
  </w:style>
  <w:style w:type="table" w:customStyle="1" w:styleId="7">
    <w:name w:val="Table Normal"/>
    <w:autoRedefine/>
    <w:semiHidden/>
    <w:unhideWhenUsed/>
    <w:qFormat/>
    <w:uiPriority w:val="2"/>
    <w:tblPr>
      <w:tblCellMar>
        <w:top w:w="0" w:type="dxa"/>
        <w:left w:w="0" w:type="dxa"/>
        <w:bottom w:w="0" w:type="dxa"/>
        <w:right w:w="0" w:type="dxa"/>
      </w:tblCellMar>
    </w:tblPr>
  </w:style>
  <w:style w:type="paragraph" w:styleId="8">
    <w:name w:val="List Paragraph"/>
    <w:basedOn w:val="1"/>
    <w:autoRedefine/>
    <w:qFormat/>
    <w:uiPriority w:val="1"/>
    <w:pPr>
      <w:ind w:left="1060" w:hanging="360"/>
    </w:pPr>
    <w:rPr>
      <w:rFonts w:ascii="Times New Roman" w:hAnsi="Times New Roman" w:eastAsia="Times New Roman" w:cs="Times New Roman"/>
      <w:lang w:val="en-US" w:eastAsia="en-US" w:bidi="ar-SA"/>
    </w:rPr>
  </w:style>
  <w:style w:type="paragraph" w:customStyle="1" w:styleId="9">
    <w:name w:val="Table Paragraph"/>
    <w:basedOn w:val="1"/>
    <w:autoRedefine/>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689</TotalTime>
  <ScaleCrop>false</ScaleCrop>
  <LinksUpToDate>false</LinksUpToDate>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2024-02-01T22:45:00Z</dcterms:created>
  <dc:creator>COMAP Inc.</dc:creator>
  <cp:keywords>, docId:120450A6B2F788101ED18021EB149BBF</cp:keywords>
  <cp:lastModifiedBy>Erick</cp:lastModifiedBy>
  <dcterms:modified xsi:type="dcterms:W3CDTF">2024-02-05T16:30:38Z</dcterms:modified>
  <dc:title>2024 ICM Problem 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2024-01-16T00:00:00Z</vt:filetime>
  </property>
  <property fmtid="{D5CDD505-2E9C-101B-9397-08002B2CF9AE}" pid="3" name="Creator">
    <vt:lpwstr>Acrobat PDFMaker 21 for Word</vt:lpwstr>
  </property>
  <property fmtid="{D5CDD505-2E9C-101B-9397-08002B2CF9AE}" pid="4" name="LastSaved">
    <vt:filetime>2024-02-01T00:00:00Z</vt:filetime>
  </property>
  <property fmtid="{D5CDD505-2E9C-101B-9397-08002B2CF9AE}" pid="5" name="Producer">
    <vt:lpwstr>Adobe PDF Library 21.7.131</vt:lpwstr>
  </property>
  <property fmtid="{D5CDD505-2E9C-101B-9397-08002B2CF9AE}" pid="6" name="SourceModified">
    <vt:lpwstr>D:20240116181920</vt:lpwstr>
  </property>
  <property fmtid="{D5CDD505-2E9C-101B-9397-08002B2CF9AE}" pid="7" name="KSOProductBuildVer">
    <vt:lpwstr>2052-12.1.0.16250</vt:lpwstr>
  </property>
  <property fmtid="{D5CDD505-2E9C-101B-9397-08002B2CF9AE}" pid="8" name="ICV">
    <vt:lpwstr>DFC10C99A1E948D2A5A3BB857AE6B84D_12</vt:lpwstr>
  </property>
</Properties>
</file>