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left"/>
      </w:pPr>
      <w:r>
        <w:rPr>
          <w:rFonts w:ascii="Times New Roman" w:hAnsi="Times New Roman"/>
          <w:b/>
          <w:color w:val="1A365D"/>
          <w:sz w:val="32"/>
        </w:rPr>
        <w:t>5. Actividad 5: construir metáforas de interfaz (Parte Eduardo)</w:t>
      </w:r>
    </w:p>
    <w:p>
      <w:pPr>
        <w:spacing w:before="0" w:after="120" w:line="276" w:lineRule="auto"/>
        <w:jc w:val="both"/>
      </w:pPr>
      <w:r>
        <w:rPr>
          <w:rFonts w:ascii="Times New Roman" w:hAnsi="Times New Roman"/>
          <w:sz w:val="22"/>
        </w:rPr>
        <w:t xml:space="preserve">Siguiendo la delimitación establecida desde la Actividad 1, las metáforas propuestas se concentran exclusivamente en la gestión de citas (consulta de disponibilidad, registro, modificación, cancelación y reagendamiento), sin extenderse a la gestión de historias clínicas. Además, se busca que cada metáfora refuerce visualmente el </w:t>
      </w:r>
      <w:r>
        <w:rPr>
          <w:rFonts w:ascii="Times New Roman" w:hAnsi="Times New Roman"/>
          <w:b/>
          <w:sz w:val="22"/>
        </w:rPr>
        <w:t>mecanismo híbrido</w:t>
      </w:r>
      <w:r>
        <w:rPr>
          <w:rFonts w:ascii="Times New Roman" w:hAnsi="Times New Roman"/>
          <w:sz w:val="22"/>
        </w:rPr>
        <w:t xml:space="preserve"> seleccionado en la Actividad 3: lo rutinario se resuelve de forma automática y las excepciones quedan visibles como pendientes de revisión humana, de modo que el paciente y el personal entiendan en todo momento qué parte del proceso depende del sistema y cuál depende de una persona.</w:t>
      </w:r>
    </w:p>
    <w:p>
      <w:pPr>
        <w:spacing w:before="0" w:after="280" w:line="276" w:lineRule="auto"/>
        <w:jc w:val="both"/>
      </w:pPr>
      <w:r>
        <w:rPr>
          <w:rFonts w:ascii="Times New Roman" w:hAnsi="Times New Roman"/>
          <w:sz w:val="22"/>
        </w:rPr>
        <w:t>Se proponen tres metáforas: una organizacional/familiar, una de navegación y una de estado, tal como exige el enunciado.</w:t>
      </w:r>
    </w:p>
    <w:p>
      <w:pPr>
        <w:keepNext/>
        <w:spacing w:before="240" w:after="120"/>
      </w:pPr>
      <w:r>
        <w:rPr>
          <w:rFonts w:ascii="Times New Roman" w:hAnsi="Times New Roman"/>
          <w:b/>
          <w:color w:val="1A365D"/>
          <w:sz w:val="26"/>
        </w:rPr>
        <w:t>5.1 Metáfora organizacional/familiar: la agenda de citas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val="clear" w:color="auto" w:fill="1A365D"/>
            <w:tcMar>
              <w:top w:w="120" w:type="dxa"/>
              <w:bottom w:w="120" w:type="dxa"/>
              <w:left w:w="120" w:type="dxa"/>
              <w:right w:w="120" w:type="dxa"/>
            </w:tcMar>
          </w:tcPr>
          <w:p>
            <w:pPr>
              <w:spacing w:before="80" w:after="80"/>
              <w:jc w:val="left"/>
            </w:pPr>
            <w:r>
              <w:rPr>
                <w:rFonts w:ascii="Times New Roman" w:hAnsi="Times New Roman"/>
                <w:b/>
                <w:color w:val="FFFFFF"/>
                <w:sz w:val="20"/>
              </w:rPr>
              <w:t>Dominio fuente</w:t>
            </w:r>
          </w:p>
        </w:tc>
        <w:tc>
          <w:tcPr>
            <w:tcW w:type="dxa" w:w="1872"/>
            <w:shd w:val="clear" w:color="auto" w:fill="1A365D"/>
            <w:tcMar>
              <w:top w:w="120" w:type="dxa"/>
              <w:bottom w:w="120" w:type="dxa"/>
              <w:left w:w="120" w:type="dxa"/>
              <w:right w:w="120" w:type="dxa"/>
            </w:tcMar>
          </w:tcPr>
          <w:p>
            <w:pPr>
              <w:spacing w:before="80" w:after="80"/>
              <w:jc w:val="left"/>
            </w:pPr>
            <w:r>
              <w:rPr>
                <w:rFonts w:ascii="Times New Roman" w:hAnsi="Times New Roman"/>
                <w:b/>
                <w:color w:val="FFFFFF"/>
                <w:sz w:val="20"/>
              </w:rPr>
              <w:t>Elemento digital</w:t>
            </w:r>
          </w:p>
        </w:tc>
        <w:tc>
          <w:tcPr>
            <w:tcW w:type="dxa" w:w="1728"/>
            <w:shd w:val="clear" w:color="auto" w:fill="1A365D"/>
            <w:tcMar>
              <w:top w:w="120" w:type="dxa"/>
              <w:bottom w:w="120" w:type="dxa"/>
              <w:left w:w="120" w:type="dxa"/>
              <w:right w:w="120" w:type="dxa"/>
            </w:tcMar>
          </w:tcPr>
          <w:p>
            <w:pPr>
              <w:spacing w:before="80" w:after="80"/>
              <w:jc w:val="left"/>
            </w:pPr>
            <w:r>
              <w:rPr>
                <w:rFonts w:ascii="Times New Roman" w:hAnsi="Times New Roman"/>
                <w:b/>
                <w:color w:val="FFFFFF"/>
                <w:sz w:val="20"/>
              </w:rPr>
              <w:t>Etiqueta o mensaje</w:t>
            </w:r>
          </w:p>
        </w:tc>
        <w:tc>
          <w:tcPr>
            <w:tcW w:type="dxa" w:w="2160"/>
            <w:shd w:val="clear" w:color="auto" w:fill="1A365D"/>
            <w:tcMar>
              <w:top w:w="120" w:type="dxa"/>
              <w:bottom w:w="120" w:type="dxa"/>
              <w:left w:w="120" w:type="dxa"/>
              <w:right w:w="120" w:type="dxa"/>
            </w:tcMar>
          </w:tcPr>
          <w:p>
            <w:pPr>
              <w:spacing w:before="80" w:after="80"/>
              <w:jc w:val="left"/>
            </w:pPr>
            <w:r>
              <w:rPr>
                <w:rFonts w:ascii="Times New Roman" w:hAnsi="Times New Roman"/>
                <w:b/>
                <w:color w:val="FFFFFF"/>
                <w:sz w:val="20"/>
              </w:rPr>
              <w:t>Comportamiento</w:t>
            </w:r>
          </w:p>
        </w:tc>
        <w:tc>
          <w:tcPr>
            <w:tcW w:type="dxa" w:w="1872"/>
            <w:shd w:val="clear" w:color="auto" w:fill="1A365D"/>
            <w:tcMar>
              <w:top w:w="120" w:type="dxa"/>
              <w:bottom w:w="120" w:type="dxa"/>
              <w:left w:w="120" w:type="dxa"/>
              <w:right w:w="120" w:type="dxa"/>
            </w:tcMar>
          </w:tcPr>
          <w:p>
            <w:pPr>
              <w:spacing w:before="80" w:after="80"/>
              <w:jc w:val="left"/>
            </w:pPr>
            <w:r>
              <w:rPr>
                <w:rFonts w:ascii="Times New Roman" w:hAnsi="Times New Roman"/>
                <w:b/>
                <w:color w:val="FFFFFF"/>
                <w:sz w:val="20"/>
              </w:rPr>
              <w:t>Riesgo</w:t>
            </w:r>
          </w:p>
        </w:tc>
      </w:tr>
      <w:tr>
        <w:tc>
          <w:tcPr>
            <w:tcW w:type="dxa" w:w="1728"/>
            <w:shd w:val="clear" w:color="auto" w:fill="FFFFFF"/>
            <w:tcMar>
              <w:top w:w="100" w:type="dxa"/>
              <w:bottom w:w="100" w:type="dxa"/>
              <w:left w:w="100" w:type="dxa"/>
              <w:right w:w="100" w:type="dxa"/>
            </w:tcMar>
          </w:tcPr>
          <w:p>
            <w:pPr>
              <w:spacing w:before="60" w:after="60"/>
              <w:jc w:val="both"/>
            </w:pPr>
            <w:r>
              <w:rPr>
                <w:rFonts w:ascii="Times New Roman" w:hAnsi="Times New Roman"/>
                <w:sz w:val="19"/>
              </w:rPr>
              <w:t>Agenda física de papel con hojas por día/semana</w:t>
            </w:r>
          </w:p>
        </w:tc>
        <w:tc>
          <w:tcPr>
            <w:tcW w:type="dxa" w:w="1872"/>
            <w:shd w:val="clear" w:color="auto" w:fill="FFFFFF"/>
            <w:tcMar>
              <w:top w:w="100" w:type="dxa"/>
              <w:bottom w:w="100" w:type="dxa"/>
              <w:left w:w="100" w:type="dxa"/>
              <w:right w:w="100" w:type="dxa"/>
            </w:tcMar>
          </w:tcPr>
          <w:p>
            <w:pPr>
              <w:spacing w:before="60" w:after="60"/>
              <w:jc w:val="both"/>
            </w:pPr>
            <w:r>
              <w:rPr>
                <w:rFonts w:ascii="Times New Roman" w:hAnsi="Times New Roman"/>
                <w:sz w:val="19"/>
              </w:rPr>
              <w:t>Vista de calendario semanal, con una columna por fisioterapeuta</w:t>
            </w:r>
          </w:p>
        </w:tc>
        <w:tc>
          <w:tcPr>
            <w:tcW w:type="dxa" w:w="1728"/>
            <w:shd w:val="clear" w:color="auto" w:fill="FFFFFF"/>
            <w:tcMar>
              <w:top w:w="100" w:type="dxa"/>
              <w:bottom w:w="100" w:type="dxa"/>
              <w:left w:w="100" w:type="dxa"/>
              <w:right w:w="100" w:type="dxa"/>
            </w:tcMar>
          </w:tcPr>
          <w:p>
            <w:pPr>
              <w:spacing w:before="60" w:after="60"/>
              <w:jc w:val="both"/>
            </w:pPr>
            <w:r>
              <w:rPr>
                <w:rFonts w:ascii="Times New Roman" w:hAnsi="Times New Roman"/>
                <w:sz w:val="19"/>
              </w:rPr>
              <w:t>"Mi agenda" / "Próxima cita: martes 10, 15:00"</w:t>
            </w:r>
          </w:p>
        </w:tc>
        <w:tc>
          <w:tcPr>
            <w:tcW w:type="dxa" w:w="2160"/>
            <w:shd w:val="clear" w:color="auto" w:fill="FFFFFF"/>
            <w:tcMar>
              <w:top w:w="100" w:type="dxa"/>
              <w:bottom w:w="100" w:type="dxa"/>
              <w:left w:w="100" w:type="dxa"/>
              <w:right w:w="100" w:type="dxa"/>
            </w:tcMar>
          </w:tcPr>
          <w:p>
            <w:pPr>
              <w:spacing w:before="60" w:after="60"/>
              <w:jc w:val="both"/>
            </w:pPr>
            <w:r>
              <w:rPr>
                <w:rFonts w:ascii="Times New Roman" w:hAnsi="Times New Roman"/>
                <w:sz w:val="19"/>
              </w:rPr>
              <w:t>Al tocar un día se despliegan los horarios libres y ocupados de ese fisioterapeuta; los espacios ocupados se muestran atenuados y no seleccionables</w:t>
            </w:r>
          </w:p>
        </w:tc>
        <w:tc>
          <w:tcPr>
            <w:tcW w:type="dxa" w:w="1872"/>
            <w:shd w:val="clear" w:color="auto" w:fill="FFFFFF"/>
            <w:tcMar>
              <w:top w:w="100" w:type="dxa"/>
              <w:bottom w:w="100" w:type="dxa"/>
              <w:left w:w="100" w:type="dxa"/>
              <w:right w:w="100" w:type="dxa"/>
            </w:tcMar>
          </w:tcPr>
          <w:p>
            <w:pPr>
              <w:spacing w:before="60" w:after="60"/>
              <w:jc w:val="both"/>
            </w:pPr>
            <w:r>
              <w:rPr>
                <w:rFonts w:ascii="Times New Roman" w:hAnsi="Times New Roman"/>
                <w:sz w:val="19"/>
              </w:rPr>
              <w:t>Un paciente acostumbrado a una agenda de papel en formato de lista simple puede no reconocer de inmediato una cuadrícula semanal con columnas por terapeuta</w:t>
            </w:r>
          </w:p>
        </w:tc>
      </w:tr>
    </w:tbl>
    <w:p>
      <w:pPr>
        <w:spacing w:after="160"/>
      </w:pPr>
    </w:p>
    <w:p>
      <w:pPr>
        <w:spacing w:before="80" w:after="120" w:line="276" w:lineRule="auto"/>
        <w:jc w:val="both"/>
      </w:pPr>
      <w:r>
        <w:rPr>
          <w:rFonts w:ascii="Times New Roman" w:hAnsi="Times New Roman"/>
          <w:b/>
          <w:sz w:val="22"/>
        </w:rPr>
        <w:t xml:space="preserve">Problema de usabilidad que resuelve. </w:t>
      </w:r>
      <w:r>
        <w:rPr>
          <w:rFonts w:ascii="Times New Roman" w:hAnsi="Times New Roman"/>
          <w:sz w:val="22"/>
        </w:rPr>
        <w:t>Sustituye la doble revisión manual (chat y agenda física) identificada como fricción en la Actividad 1: la disponibilidad real se consulta en un solo lugar y se actualiza automáticamente al confirmarse una cita, evitando el desfase entre lo acordado por WhatsApp y lo anotado en papel.</w:t>
      </w:r>
    </w:p>
    <w:p>
      <w:pPr>
        <w:spacing w:before="80" w:after="120" w:line="276" w:lineRule="auto"/>
        <w:jc w:val="both"/>
      </w:pPr>
      <w:r>
        <w:rPr>
          <w:rFonts w:ascii="Times New Roman" w:hAnsi="Times New Roman"/>
          <w:b/>
          <w:sz w:val="22"/>
        </w:rPr>
        <w:t xml:space="preserve">Perspectiva lingüística y computacional. </w:t>
      </w:r>
      <w:r>
        <w:rPr>
          <w:rFonts w:ascii="Times New Roman" w:hAnsi="Times New Roman"/>
          <w:sz w:val="22"/>
        </w:rPr>
        <w:t>Desde lo lingüístico, se conserva el vocabulario que el centro ya usa ("agenda", "cita", "horario libre/ocupado"), de modo que el modelo mental del paciente y del personal administrativo no cambie, solo el medio. Desde lo computacional, cada celda de la cuadrícula representa un objeto "franja horaria" con un estado (libre, ocupada, bloqueada) asociado a un fisioterapeuta y una fecha; la apariencia visual y la interacción de cada celda son una proyección directa de ese estado, no un elemento decorativo independiente.</w:t>
      </w:r>
    </w:p>
    <w:p>
      <w:pPr>
        <w:spacing w:before="80" w:after="120" w:line="276" w:lineRule="auto"/>
        <w:jc w:val="both"/>
      </w:pPr>
      <w:r>
        <w:rPr>
          <w:rFonts w:ascii="Times New Roman" w:hAnsi="Times New Roman"/>
          <w:b/>
          <w:sz w:val="22"/>
        </w:rPr>
        <w:t xml:space="preserve">Affordances, mapeo, consistencia y retroalimentación. </w:t>
      </w:r>
      <w:r>
        <w:rPr>
          <w:rFonts w:ascii="Times New Roman" w:hAnsi="Times New Roman"/>
          <w:sz w:val="22"/>
        </w:rPr>
        <w:t>Las celdas libres se ven "presionables" (borde sólido, cursor de mano) mientras que las ocupadas se ven planas y sin relieve, comunicando por affordance que no se pueden seleccionar. El mapeo es directo: una celda equivale a una franja horaria real, sin niveles intermedios de abstracción. La consistencia se mantiene identificando al fisioterapeuta mediante su nombre, inicial o avatar en todas las vistas (vista de calendario, detalle de cita, notificaciones); el color se reserva exclusivamente para comunicar el estado de la cita (ver metáfora 5.3), de modo que un mismo recurso visual no represente dos significados distintos según la pantalla. La retroalimentación es inmediata: al seleccionar una celda, esta cambia de estado visualmente antes de completar el registro, y solo se confirma como "ocupada" cuando el backend valida que sigue disponible.</w:t>
      </w:r>
    </w:p>
    <w:p>
      <w:pPr>
        <w:spacing w:before="80" w:after="120" w:line="276" w:lineRule="auto"/>
        <w:jc w:val="both"/>
      </w:pPr>
      <w:r>
        <w:rPr>
          <w:rFonts w:ascii="Times New Roman" w:hAnsi="Times New Roman"/>
          <w:b/>
          <w:sz w:val="22"/>
        </w:rPr>
        <w:t xml:space="preserve">Estados, reglas, validaciones y persistencia. </w:t>
      </w:r>
      <w:r>
        <w:rPr>
          <w:rFonts w:ascii="Times New Roman" w:hAnsi="Times New Roman"/>
          <w:sz w:val="22"/>
        </w:rPr>
        <w:t>Estados de la franja: libre, en proceso de reserva (bloqueo temporal mientras el paciente completa el formulario), ocupada, bloqueada por el fisioterapeuta (descansos o ausencias). Regla de validación: una franja no puede pasar de libre a ocupada sin pasar por en proceso de reserva, y ese estado intermedio expira a los pocos minutos si el paciente no concluye el registro, liberando el horario. La persistencia guarda la franja con su historial de cambios de estado, necesario para la trazabilidad exigida en la Actividad 4.</w:t>
      </w:r>
    </w:p>
    <w:p>
      <w:pPr>
        <w:spacing w:before="80" w:after="120" w:line="276" w:lineRule="auto"/>
        <w:jc w:val="both"/>
      </w:pPr>
      <w:r>
        <w:rPr>
          <w:rFonts w:ascii="Times New Roman" w:hAnsi="Times New Roman"/>
          <w:b/>
          <w:sz w:val="22"/>
        </w:rPr>
        <w:t xml:space="preserve">Límite o riesgo cultural. </w:t>
      </w:r>
      <w:r>
        <w:rPr>
          <w:rFonts w:ascii="Times New Roman" w:hAnsi="Times New Roman"/>
          <w:sz w:val="22"/>
        </w:rPr>
        <w:t>Pacientes de mayor edad o con menor manejo digital —perfil frecuente en un centro de rehabilitación— pueden estar habituados a una agenda de papel organizada como lista de horas del día, no como cuadrícula con columnas por terapeuta; para ese segmento conviene mantener también la opción de solicitar la cita por WhatsApp, como ya se planteó en el mecanismo híbrido.</w:t>
      </w:r>
    </w:p>
    <w:p>
      <w:pPr>
        <w:spacing w:before="80" w:after="120" w:line="276" w:lineRule="auto"/>
        <w:jc w:val="both"/>
      </w:pPr>
      <w:r>
        <w:rPr>
          <w:rFonts w:ascii="Times New Roman" w:hAnsi="Times New Roman"/>
          <w:b/>
          <w:sz w:val="22"/>
        </w:rPr>
        <w:t xml:space="preserve">Prompt sugerido para Figma: </w:t>
      </w:r>
      <w:r>
        <w:rPr>
          <w:rFonts w:ascii="Times New Roman" w:hAnsi="Times New Roman"/>
          <w:sz w:val="22"/>
        </w:rPr>
        <w:t>"Vista de calendario semanal para una app de citas de fisioterapia, con columnas por fisioterapeuta, celdas libres resaltadas y celdas ocupadas atenuadas, estilo limpio y accesible."</w:t>
      </w:r>
    </w:p>
    <w:p>
      <w:pPr>
        <w:keepNext/>
        <w:spacing w:before="320" w:after="120"/>
      </w:pPr>
      <w:r>
        <w:rPr>
          <w:rFonts w:ascii="Times New Roman" w:hAnsi="Times New Roman"/>
          <w:b/>
          <w:color w:val="1A365D"/>
          <w:sz w:val="26"/>
        </w:rPr>
        <w:t>5.2 Metáfora de navegación: el camino de pasos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val="clear" w:color="auto" w:fill="1A365D"/>
            <w:tcMar>
              <w:top w:w="120" w:type="dxa"/>
              <w:bottom w:w="120" w:type="dxa"/>
              <w:left w:w="120" w:type="dxa"/>
              <w:right w:w="120" w:type="dxa"/>
            </w:tcMar>
          </w:tcPr>
          <w:p>
            <w:pPr>
              <w:spacing w:before="80" w:after="80"/>
              <w:jc w:val="left"/>
            </w:pPr>
            <w:r>
              <w:rPr>
                <w:rFonts w:ascii="Times New Roman" w:hAnsi="Times New Roman"/>
                <w:b/>
                <w:color w:val="FFFFFF"/>
                <w:sz w:val="20"/>
              </w:rPr>
              <w:t>Dominio fuente</w:t>
            </w:r>
          </w:p>
        </w:tc>
        <w:tc>
          <w:tcPr>
            <w:tcW w:type="dxa" w:w="1872"/>
            <w:shd w:val="clear" w:color="auto" w:fill="1A365D"/>
            <w:tcMar>
              <w:top w:w="120" w:type="dxa"/>
              <w:bottom w:w="120" w:type="dxa"/>
              <w:left w:w="120" w:type="dxa"/>
              <w:right w:w="120" w:type="dxa"/>
            </w:tcMar>
          </w:tcPr>
          <w:p>
            <w:pPr>
              <w:spacing w:before="80" w:after="80"/>
              <w:jc w:val="left"/>
            </w:pPr>
            <w:r>
              <w:rPr>
                <w:rFonts w:ascii="Times New Roman" w:hAnsi="Times New Roman"/>
                <w:b/>
                <w:color w:val="FFFFFF"/>
                <w:sz w:val="20"/>
              </w:rPr>
              <w:t>Elemento digital</w:t>
            </w:r>
          </w:p>
        </w:tc>
        <w:tc>
          <w:tcPr>
            <w:tcW w:type="dxa" w:w="1728"/>
            <w:shd w:val="clear" w:color="auto" w:fill="1A365D"/>
            <w:tcMar>
              <w:top w:w="120" w:type="dxa"/>
              <w:bottom w:w="120" w:type="dxa"/>
              <w:left w:w="120" w:type="dxa"/>
              <w:right w:w="120" w:type="dxa"/>
            </w:tcMar>
          </w:tcPr>
          <w:p>
            <w:pPr>
              <w:spacing w:before="80" w:after="80"/>
              <w:jc w:val="left"/>
            </w:pPr>
            <w:r>
              <w:rPr>
                <w:rFonts w:ascii="Times New Roman" w:hAnsi="Times New Roman"/>
                <w:b/>
                <w:color w:val="FFFFFF"/>
                <w:sz w:val="20"/>
              </w:rPr>
              <w:t>Etiqueta o mensaje</w:t>
            </w:r>
          </w:p>
        </w:tc>
        <w:tc>
          <w:tcPr>
            <w:tcW w:type="dxa" w:w="2160"/>
            <w:shd w:val="clear" w:color="auto" w:fill="1A365D"/>
            <w:tcMar>
              <w:top w:w="120" w:type="dxa"/>
              <w:bottom w:w="120" w:type="dxa"/>
              <w:left w:w="120" w:type="dxa"/>
              <w:right w:w="120" w:type="dxa"/>
            </w:tcMar>
          </w:tcPr>
          <w:p>
            <w:pPr>
              <w:spacing w:before="80" w:after="80"/>
              <w:jc w:val="left"/>
            </w:pPr>
            <w:r>
              <w:rPr>
                <w:rFonts w:ascii="Times New Roman" w:hAnsi="Times New Roman"/>
                <w:b/>
                <w:color w:val="FFFFFF"/>
                <w:sz w:val="20"/>
              </w:rPr>
              <w:t>Comportamiento</w:t>
            </w:r>
          </w:p>
        </w:tc>
        <w:tc>
          <w:tcPr>
            <w:tcW w:type="dxa" w:w="1872"/>
            <w:shd w:val="clear" w:color="auto" w:fill="1A365D"/>
            <w:tcMar>
              <w:top w:w="120" w:type="dxa"/>
              <w:bottom w:w="120" w:type="dxa"/>
              <w:left w:w="120" w:type="dxa"/>
              <w:right w:w="120" w:type="dxa"/>
            </w:tcMar>
          </w:tcPr>
          <w:p>
            <w:pPr>
              <w:spacing w:before="80" w:after="80"/>
              <w:jc w:val="left"/>
            </w:pPr>
            <w:r>
              <w:rPr>
                <w:rFonts w:ascii="Times New Roman" w:hAnsi="Times New Roman"/>
                <w:b/>
                <w:color w:val="FFFFFF"/>
                <w:sz w:val="20"/>
              </w:rPr>
              <w:t>Riesgo</w:t>
            </w:r>
          </w:p>
        </w:tc>
      </w:tr>
      <w:tr>
        <w:tc>
          <w:tcPr>
            <w:tcW w:type="dxa" w:w="1728"/>
            <w:shd w:val="clear" w:color="auto" w:fill="FFFFFF"/>
            <w:tcMar>
              <w:top w:w="100" w:type="dxa"/>
              <w:bottom w:w="100" w:type="dxa"/>
              <w:left w:w="100" w:type="dxa"/>
              <w:right w:w="100" w:type="dxa"/>
            </w:tcMar>
          </w:tcPr>
          <w:p>
            <w:pPr>
              <w:spacing w:before="60" w:after="60"/>
              <w:jc w:val="both"/>
            </w:pPr>
            <w:r>
              <w:rPr>
                <w:rFonts w:ascii="Times New Roman" w:hAnsi="Times New Roman"/>
                <w:sz w:val="19"/>
              </w:rPr>
              <w:t>Camino o sendero con etapas marcadas</w:t>
            </w:r>
          </w:p>
        </w:tc>
        <w:tc>
          <w:tcPr>
            <w:tcW w:type="dxa" w:w="1872"/>
            <w:shd w:val="clear" w:color="auto" w:fill="FFFFFF"/>
            <w:tcMar>
              <w:top w:w="100" w:type="dxa"/>
              <w:bottom w:w="100" w:type="dxa"/>
              <w:left w:w="100" w:type="dxa"/>
              <w:right w:w="100" w:type="dxa"/>
            </w:tcMar>
          </w:tcPr>
          <w:p>
            <w:pPr>
              <w:spacing w:before="60" w:after="60"/>
              <w:jc w:val="both"/>
            </w:pPr>
            <w:r>
              <w:rPr>
                <w:rFonts w:ascii="Times New Roman" w:hAnsi="Times New Roman"/>
                <w:sz w:val="19"/>
              </w:rPr>
              <w:t>Barra de pasos (stepper) en la parte superior del formulario de agendamiento</w:t>
            </w:r>
          </w:p>
        </w:tc>
        <w:tc>
          <w:tcPr>
            <w:tcW w:type="dxa" w:w="1728"/>
            <w:shd w:val="clear" w:color="auto" w:fill="FFFFFF"/>
            <w:tcMar>
              <w:top w:w="100" w:type="dxa"/>
              <w:bottom w:w="100" w:type="dxa"/>
              <w:left w:w="100" w:type="dxa"/>
              <w:right w:w="100" w:type="dxa"/>
            </w:tcMar>
          </w:tcPr>
          <w:p>
            <w:pPr>
              <w:spacing w:before="60" w:after="60"/>
              <w:jc w:val="both"/>
            </w:pPr>
            <w:r>
              <w:rPr>
                <w:rFonts w:ascii="Times New Roman" w:hAnsi="Times New Roman"/>
                <w:sz w:val="19"/>
              </w:rPr>
              <w:t>"Paso 2 de 4: selecciona tu fisioterapeuta"</w:t>
            </w:r>
          </w:p>
        </w:tc>
        <w:tc>
          <w:tcPr>
            <w:tcW w:type="dxa" w:w="2160"/>
            <w:shd w:val="clear" w:color="auto" w:fill="FFFFFF"/>
            <w:tcMar>
              <w:top w:w="100" w:type="dxa"/>
              <w:bottom w:w="100" w:type="dxa"/>
              <w:left w:w="100" w:type="dxa"/>
              <w:right w:w="100" w:type="dxa"/>
            </w:tcMar>
          </w:tcPr>
          <w:p>
            <w:pPr>
              <w:spacing w:before="60" w:after="60"/>
              <w:jc w:val="both"/>
            </w:pPr>
            <w:r>
              <w:rPr>
                <w:rFonts w:ascii="Times New Roman" w:hAnsi="Times New Roman"/>
                <w:sz w:val="19"/>
              </w:rPr>
              <w:t>Cada paso se habilita solo cuando el anterior está completo; permite retroceder sin perder los datos ya ingresados</w:t>
            </w:r>
          </w:p>
        </w:tc>
        <w:tc>
          <w:tcPr>
            <w:tcW w:type="dxa" w:w="1872"/>
            <w:shd w:val="clear" w:color="auto" w:fill="FFFFFF"/>
            <w:tcMar>
              <w:top w:w="100" w:type="dxa"/>
              <w:bottom w:w="100" w:type="dxa"/>
              <w:left w:w="100" w:type="dxa"/>
              <w:right w:w="100" w:type="dxa"/>
            </w:tcMar>
          </w:tcPr>
          <w:p>
            <w:pPr>
              <w:spacing w:before="60" w:after="60"/>
              <w:jc w:val="both"/>
            </w:pPr>
            <w:r>
              <w:rPr>
                <w:rFonts w:ascii="Times New Roman" w:hAnsi="Times New Roman"/>
                <w:sz w:val="19"/>
              </w:rPr>
              <w:t>Pacientes sin experiencia previa con formularios de varios pasos pueden no notar que existen pasos siguientes u omitir información relevante</w:t>
            </w:r>
          </w:p>
        </w:tc>
      </w:tr>
    </w:tbl>
    <w:p>
      <w:pPr>
        <w:spacing w:after="160"/>
      </w:pPr>
    </w:p>
    <w:p>
      <w:pPr>
        <w:spacing w:before="40" w:after="120" w:line="276" w:lineRule="auto"/>
        <w:jc w:val="both"/>
      </w:pPr>
      <w:r>
        <w:rPr>
          <w:rFonts w:ascii="Times New Roman" w:hAnsi="Times New Roman"/>
          <w:sz w:val="22"/>
        </w:rPr>
        <w:t>Los cuatro pasos del stepper son, en orden: (1) consultar disponibilidad, (2) seleccionar fisioterapeuta, (3) registrar los datos del paciente y (4) revisar y confirmar. Este orden respeta deliberadamente el de las pantallas mínimas que exige la Actividad 6 (consulta de disponibilidad, selección de fisioterapeuta, registro de datos, resumen y confirmación), para que Erick pueda construir el prototipo directamente sobre esta misma secuencia.</w:t>
      </w:r>
    </w:p>
    <w:p>
      <w:pPr>
        <w:spacing w:before="80" w:after="120" w:line="276" w:lineRule="auto"/>
        <w:jc w:val="both"/>
      </w:pPr>
      <w:r>
        <w:rPr>
          <w:rFonts w:ascii="Times New Roman" w:hAnsi="Times New Roman"/>
          <w:b/>
          <w:sz w:val="22"/>
        </w:rPr>
        <w:t xml:space="preserve">Problema de usabilidad que resuelve. </w:t>
      </w:r>
      <w:r>
        <w:rPr>
          <w:rFonts w:ascii="Times New Roman" w:hAnsi="Times New Roman"/>
          <w:sz w:val="22"/>
        </w:rPr>
        <w:t>Da visibilidad del progreso dentro del proceso de agendamiento, algo que hoy no existe: en el flujo AS-IS el paciente no sabe si su mensaje fue leído ni en qué punto está su solicitud. El stepper convierte ese vacío de retroalimentación en un estado explícito y siempre visible.</w:t>
      </w:r>
    </w:p>
    <w:p>
      <w:pPr>
        <w:spacing w:before="80" w:after="120" w:line="276" w:lineRule="auto"/>
        <w:jc w:val="both"/>
      </w:pPr>
      <w:r>
        <w:rPr>
          <w:rFonts w:ascii="Times New Roman" w:hAnsi="Times New Roman"/>
          <w:b/>
          <w:sz w:val="22"/>
        </w:rPr>
        <w:t xml:space="preserve">Perspectiva lingüística y computacional. </w:t>
      </w:r>
      <w:r>
        <w:rPr>
          <w:rFonts w:ascii="Times New Roman" w:hAnsi="Times New Roman"/>
          <w:sz w:val="22"/>
        </w:rPr>
        <w:t>El lenguaje usa numeración y verbos de acción ("elige", "confirma") en lugar de términos técnicos, para que cualquier paciente entienda qué se espera de él sin necesitar explicación previa. Computacionalmente, el stepper es la representación visual de una máquina de estados finita: cada paso corresponde a un estado del formulario, y el avance de un estado a otro solo ocurre si se cumplen las validaciones de ese paso (por ejemplo, no se puede avanzar de "seleccionar fisioterapeuta" a "registrar datos" sin una franja horaria confirmada).</w:t>
      </w:r>
    </w:p>
    <w:p>
      <w:pPr>
        <w:spacing w:before="80" w:after="120" w:line="276" w:lineRule="auto"/>
        <w:jc w:val="both"/>
      </w:pPr>
      <w:r>
        <w:rPr>
          <w:rFonts w:ascii="Times New Roman" w:hAnsi="Times New Roman"/>
          <w:b/>
          <w:sz w:val="22"/>
        </w:rPr>
        <w:t xml:space="preserve">Affordances, mapeo, consistencia y retroalimentación. </w:t>
      </w:r>
      <w:r>
        <w:rPr>
          <w:rFonts w:ascii="Times New Roman" w:hAnsi="Times New Roman"/>
          <w:sz w:val="22"/>
        </w:rPr>
        <w:t>Los pasos completados se marcan con un ícono de check y color distinto al paso activo, y los pasos futuros aparecen atenuados para indicar que aún no están disponibles. El mapeo respeta el orden de las cuatro etapas (disponibilidad → fisioterapeuta → datos del paciente → confirmación), el mismo que usará el prototipo de la Actividad 6, sin reordenar pasos por conveniencia visual. La consistencia se logra usando el mismo componente de stepper en el flujo de agendamiento nuevo y en el de reagendamiento, para que el paciente reconozca el patrón. La retroalimentación incluye mensajes de error específicos por paso (por ejemplo, "el horario que elegiste ya no está disponible, elige otro") en lugar de un error genérico al final.</w:t>
      </w:r>
    </w:p>
    <w:p>
      <w:pPr>
        <w:spacing w:before="80" w:after="120" w:line="276" w:lineRule="auto"/>
        <w:jc w:val="both"/>
      </w:pPr>
      <w:r>
        <w:rPr>
          <w:rFonts w:ascii="Times New Roman" w:hAnsi="Times New Roman"/>
          <w:b/>
          <w:sz w:val="22"/>
        </w:rPr>
        <w:t xml:space="preserve">Estados, reglas, validaciones y persistencia. </w:t>
      </w:r>
      <w:r>
        <w:rPr>
          <w:rFonts w:ascii="Times New Roman" w:hAnsi="Times New Roman"/>
          <w:sz w:val="22"/>
        </w:rPr>
        <w:t>Estados del formulario: paso 1 pendiente, paso 1 completo, paso 2 en curso, etc., hasta enviado. Regla clave para el mecanismo híbrido: si la cita corresponde a un caso estándar (control o seguimiento rutinario ya validado por el fisioterapeuta), el último paso resulta en confirmada de inmediato; si corresponde a una excepción (primera consulta, cambio de plan de tratamiento, horario fuera de las franjas estándar), el último paso resulta en enviada, pendiente de revisión, dejando claro al paciente que un fisioterapeuta o el personal debe aprobarla. La persistencia guarda el avance parcial del formulario para que, si el paciente cierra la aplicación, pueda retomar desde el último paso completado.</w:t>
      </w:r>
    </w:p>
    <w:p>
      <w:pPr>
        <w:spacing w:before="80" w:after="120" w:line="276" w:lineRule="auto"/>
        <w:jc w:val="both"/>
      </w:pPr>
      <w:r>
        <w:rPr>
          <w:rFonts w:ascii="Times New Roman" w:hAnsi="Times New Roman"/>
          <w:b/>
          <w:sz w:val="22"/>
        </w:rPr>
        <w:t xml:space="preserve">Límite o riesgo cultural. </w:t>
      </w:r>
      <w:r>
        <w:rPr>
          <w:rFonts w:ascii="Times New Roman" w:hAnsi="Times New Roman"/>
          <w:sz w:val="22"/>
        </w:rPr>
        <w:t>El patrón de "wizard" con pasos numerados es común en aplicaciones bancarias o de comercio electrónico, pero no todos los pacientes tienen ese marco de referencia previo; si los íconos no van acompañados de texto explícito, una persona con menor alfabetización digital puede no identificar que puede retroceder sin perder su información.</w:t>
      </w:r>
    </w:p>
    <w:p>
      <w:pPr>
        <w:spacing w:before="80" w:after="120" w:line="276" w:lineRule="auto"/>
        <w:jc w:val="both"/>
      </w:pPr>
      <w:r>
        <w:rPr>
          <w:rFonts w:ascii="Times New Roman" w:hAnsi="Times New Roman"/>
          <w:b/>
          <w:sz w:val="22"/>
        </w:rPr>
        <w:t xml:space="preserve">Prompt sugerido para Figma: </w:t>
      </w:r>
      <w:r>
        <w:rPr>
          <w:rFonts w:ascii="Times New Roman" w:hAnsi="Times New Roman"/>
          <w:sz w:val="22"/>
        </w:rPr>
        <w:t>"Formulario de agendamiento de cita médica con barra de pasos horizontal en la parte superior (4 pasos), paso activo resaltado, pasos completados con check, diseño accesible y minimalista."</w:t>
      </w:r>
    </w:p>
    <w:p>
      <w:pPr>
        <w:keepNext/>
        <w:spacing w:before="320" w:after="120"/>
      </w:pPr>
      <w:r>
        <w:rPr>
          <w:rFonts w:ascii="Times New Roman" w:hAnsi="Times New Roman"/>
          <w:b/>
          <w:color w:val="1A365D"/>
          <w:sz w:val="26"/>
        </w:rPr>
        <w:t>5.3 Metáfora de estado: el semáforo de la cita</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val="clear" w:color="auto" w:fill="1A365D"/>
            <w:tcMar>
              <w:top w:w="120" w:type="dxa"/>
              <w:bottom w:w="120" w:type="dxa"/>
              <w:left w:w="120" w:type="dxa"/>
              <w:right w:w="120" w:type="dxa"/>
            </w:tcMar>
          </w:tcPr>
          <w:p>
            <w:pPr>
              <w:spacing w:before="80" w:after="80"/>
              <w:jc w:val="left"/>
            </w:pPr>
            <w:r>
              <w:rPr>
                <w:rFonts w:ascii="Times New Roman" w:hAnsi="Times New Roman"/>
                <w:b/>
                <w:color w:val="FFFFFF"/>
                <w:sz w:val="20"/>
              </w:rPr>
              <w:t>Dominio fuente</w:t>
            </w:r>
          </w:p>
        </w:tc>
        <w:tc>
          <w:tcPr>
            <w:tcW w:type="dxa" w:w="1872"/>
            <w:shd w:val="clear" w:color="auto" w:fill="1A365D"/>
            <w:tcMar>
              <w:top w:w="120" w:type="dxa"/>
              <w:bottom w:w="120" w:type="dxa"/>
              <w:left w:w="120" w:type="dxa"/>
              <w:right w:w="120" w:type="dxa"/>
            </w:tcMar>
          </w:tcPr>
          <w:p>
            <w:pPr>
              <w:spacing w:before="80" w:after="80"/>
              <w:jc w:val="left"/>
            </w:pPr>
            <w:r>
              <w:rPr>
                <w:rFonts w:ascii="Times New Roman" w:hAnsi="Times New Roman"/>
                <w:b/>
                <w:color w:val="FFFFFF"/>
                <w:sz w:val="20"/>
              </w:rPr>
              <w:t>Elemento digital</w:t>
            </w:r>
          </w:p>
        </w:tc>
        <w:tc>
          <w:tcPr>
            <w:tcW w:type="dxa" w:w="1728"/>
            <w:shd w:val="clear" w:color="auto" w:fill="1A365D"/>
            <w:tcMar>
              <w:top w:w="120" w:type="dxa"/>
              <w:bottom w:w="120" w:type="dxa"/>
              <w:left w:w="120" w:type="dxa"/>
              <w:right w:w="120" w:type="dxa"/>
            </w:tcMar>
          </w:tcPr>
          <w:p>
            <w:pPr>
              <w:spacing w:before="80" w:after="80"/>
              <w:jc w:val="left"/>
            </w:pPr>
            <w:r>
              <w:rPr>
                <w:rFonts w:ascii="Times New Roman" w:hAnsi="Times New Roman"/>
                <w:b/>
                <w:color w:val="FFFFFF"/>
                <w:sz w:val="20"/>
              </w:rPr>
              <w:t>Etiqueta o mensaje</w:t>
            </w:r>
          </w:p>
        </w:tc>
        <w:tc>
          <w:tcPr>
            <w:tcW w:type="dxa" w:w="2160"/>
            <w:shd w:val="clear" w:color="auto" w:fill="1A365D"/>
            <w:tcMar>
              <w:top w:w="120" w:type="dxa"/>
              <w:bottom w:w="120" w:type="dxa"/>
              <w:left w:w="120" w:type="dxa"/>
              <w:right w:w="120" w:type="dxa"/>
            </w:tcMar>
          </w:tcPr>
          <w:p>
            <w:pPr>
              <w:spacing w:before="80" w:after="80"/>
              <w:jc w:val="left"/>
            </w:pPr>
            <w:r>
              <w:rPr>
                <w:rFonts w:ascii="Times New Roman" w:hAnsi="Times New Roman"/>
                <w:b/>
                <w:color w:val="FFFFFF"/>
                <w:sz w:val="20"/>
              </w:rPr>
              <w:t>Comportamiento</w:t>
            </w:r>
          </w:p>
        </w:tc>
        <w:tc>
          <w:tcPr>
            <w:tcW w:type="dxa" w:w="1872"/>
            <w:shd w:val="clear" w:color="auto" w:fill="1A365D"/>
            <w:tcMar>
              <w:top w:w="120" w:type="dxa"/>
              <w:bottom w:w="120" w:type="dxa"/>
              <w:left w:w="120" w:type="dxa"/>
              <w:right w:w="120" w:type="dxa"/>
            </w:tcMar>
          </w:tcPr>
          <w:p>
            <w:pPr>
              <w:spacing w:before="80" w:after="80"/>
              <w:jc w:val="left"/>
            </w:pPr>
            <w:r>
              <w:rPr>
                <w:rFonts w:ascii="Times New Roman" w:hAnsi="Times New Roman"/>
                <w:b/>
                <w:color w:val="FFFFFF"/>
                <w:sz w:val="20"/>
              </w:rPr>
              <w:t>Riesgo</w:t>
            </w:r>
          </w:p>
        </w:tc>
      </w:tr>
      <w:tr>
        <w:tc>
          <w:tcPr>
            <w:tcW w:type="dxa" w:w="1728"/>
            <w:shd w:val="clear" w:color="auto" w:fill="FFFFFF"/>
            <w:tcMar>
              <w:top w:w="100" w:type="dxa"/>
              <w:bottom w:w="100" w:type="dxa"/>
              <w:left w:w="100" w:type="dxa"/>
              <w:right w:w="100" w:type="dxa"/>
            </w:tcMar>
          </w:tcPr>
          <w:p>
            <w:pPr>
              <w:spacing w:before="60" w:after="60"/>
              <w:jc w:val="both"/>
            </w:pPr>
            <w:r>
              <w:rPr>
                <w:rFonts w:ascii="Times New Roman" w:hAnsi="Times New Roman"/>
                <w:sz w:val="19"/>
              </w:rPr>
              <w:t>Semáforo vial (rojo, amarillo, verde) más un ícono neutro para cierre</w:t>
            </w:r>
          </w:p>
        </w:tc>
        <w:tc>
          <w:tcPr>
            <w:tcW w:type="dxa" w:w="1872"/>
            <w:shd w:val="clear" w:color="auto" w:fill="FFFFFF"/>
            <w:tcMar>
              <w:top w:w="100" w:type="dxa"/>
              <w:bottom w:w="100" w:type="dxa"/>
              <w:left w:w="100" w:type="dxa"/>
              <w:right w:w="100" w:type="dxa"/>
            </w:tcMar>
          </w:tcPr>
          <w:p>
            <w:pPr>
              <w:spacing w:before="60" w:after="60"/>
              <w:jc w:val="both"/>
            </w:pPr>
            <w:r>
              <w:rPr>
                <w:rFonts w:ascii="Times New Roman" w:hAnsi="Times New Roman"/>
                <w:sz w:val="19"/>
              </w:rPr>
              <w:t>Insignia de color e ícono junto a cada cita en el listado del paciente y del fisioterapeuta</w:t>
            </w:r>
          </w:p>
        </w:tc>
        <w:tc>
          <w:tcPr>
            <w:tcW w:type="dxa" w:w="1728"/>
            <w:shd w:val="clear" w:color="auto" w:fill="FFFFFF"/>
            <w:tcMar>
              <w:top w:w="100" w:type="dxa"/>
              <w:bottom w:w="100" w:type="dxa"/>
              <w:left w:w="100" w:type="dxa"/>
              <w:right w:w="100" w:type="dxa"/>
            </w:tcMar>
          </w:tcPr>
          <w:p>
            <w:pPr>
              <w:spacing w:before="60" w:after="60"/>
              <w:jc w:val="both"/>
            </w:pPr>
            <w:r>
              <w:rPr>
                <w:rFonts w:ascii="Times New Roman" w:hAnsi="Times New Roman"/>
                <w:sz w:val="19"/>
              </w:rPr>
              <w:t>"Confirmada" (verde) / "Pendiente de revisión" (amarillo) / "Cancelada" (rojo) / "Completada" (ícono de verificación en gris, sin un cuarto color)</w:t>
            </w:r>
          </w:p>
        </w:tc>
        <w:tc>
          <w:tcPr>
            <w:tcW w:type="dxa" w:w="2160"/>
            <w:shd w:val="clear" w:color="auto" w:fill="FFFFFF"/>
            <w:tcMar>
              <w:top w:w="100" w:type="dxa"/>
              <w:bottom w:w="100" w:type="dxa"/>
              <w:left w:w="100" w:type="dxa"/>
              <w:right w:w="100" w:type="dxa"/>
            </w:tcMar>
          </w:tcPr>
          <w:p>
            <w:pPr>
              <w:spacing w:before="60" w:after="60"/>
              <w:jc w:val="both"/>
            </w:pPr>
            <w:r>
              <w:rPr>
                <w:rFonts w:ascii="Times New Roman" w:hAnsi="Times New Roman"/>
                <w:sz w:val="19"/>
              </w:rPr>
              <w:t>El color, el ícono y el texto cambian automáticamente según el estado real de la cita en el sistema; un toque sobre la insignia despliega el detalle y el motivo del estado</w:t>
            </w:r>
          </w:p>
        </w:tc>
        <w:tc>
          <w:tcPr>
            <w:tcW w:type="dxa" w:w="1872"/>
            <w:shd w:val="clear" w:color="auto" w:fill="FFFFFF"/>
            <w:tcMar>
              <w:top w:w="100" w:type="dxa"/>
              <w:bottom w:w="100" w:type="dxa"/>
              <w:left w:w="100" w:type="dxa"/>
              <w:right w:w="100" w:type="dxa"/>
            </w:tcMar>
          </w:tcPr>
          <w:p>
            <w:pPr>
              <w:spacing w:before="60" w:after="60"/>
              <w:jc w:val="both"/>
            </w:pPr>
            <w:r>
              <w:rPr>
                <w:rFonts w:ascii="Times New Roman" w:hAnsi="Times New Roman"/>
                <w:sz w:val="19"/>
              </w:rPr>
              <w:t>Personas con daltonismo pueden no distinguir el color; el color por sí solo no debe ser la única fuente de información</w:t>
            </w:r>
          </w:p>
        </w:tc>
      </w:tr>
    </w:tbl>
    <w:p>
      <w:pPr>
        <w:spacing w:after="160"/>
      </w:pPr>
    </w:p>
    <w:p>
      <w:pPr>
        <w:spacing w:before="80" w:after="120" w:line="276" w:lineRule="auto"/>
        <w:jc w:val="both"/>
      </w:pPr>
      <w:r>
        <w:rPr>
          <w:rFonts w:ascii="Times New Roman" w:hAnsi="Times New Roman"/>
          <w:b/>
          <w:sz w:val="22"/>
        </w:rPr>
        <w:t xml:space="preserve">Problema de usabilidad que resuelve. </w:t>
      </w:r>
      <w:r>
        <w:rPr>
          <w:rFonts w:ascii="Times New Roman" w:hAnsi="Times New Roman"/>
          <w:sz w:val="22"/>
        </w:rPr>
        <w:t>Responde directamente al problema de retroalimentación detectado en la Actividad 1: hoy el paciente no tiene forma de saber si su cita quedó realmente confirmada. La insignia de estado hace visible, sin necesidad de preguntar, en qué situación se encuentra cada cita, y es especialmente útil para comunicar las excepciones que el mecanismo híbrido deja pendientes de revisión humana.</w:t>
      </w:r>
    </w:p>
    <w:p>
      <w:pPr>
        <w:spacing w:before="80" w:after="120" w:line="276" w:lineRule="auto"/>
        <w:jc w:val="both"/>
      </w:pPr>
      <w:r>
        <w:rPr>
          <w:rFonts w:ascii="Times New Roman" w:hAnsi="Times New Roman"/>
          <w:b/>
          <w:sz w:val="22"/>
        </w:rPr>
        <w:t xml:space="preserve">Perspectiva lingüística y computacional. </w:t>
      </w:r>
      <w:r>
        <w:rPr>
          <w:rFonts w:ascii="Times New Roman" w:hAnsi="Times New Roman"/>
          <w:sz w:val="22"/>
        </w:rPr>
        <w:t>El semáforo se apoya en una asociación cultural muy extendida (verde = correcto/avanzar, amarillo = espera, rojo = detenido/anulado), por lo que el usuario interpreta el estado antes incluso de leer el texto; aun así, el texto siempre acompaña al color para no depender solo de la asociación cultural. Computacionalmente, la insignia es una función pura del campo estado_cita (confirmada, pendiente_revision, cancelada, y opcionalmente completada), sin lógica propia: cualquier cambio de estado en el backend se refleja de inmediato en la insignia, sin pasos intermedios que puedan desincronizarse.</w:t>
      </w:r>
    </w:p>
    <w:p>
      <w:pPr>
        <w:spacing w:before="80" w:after="120" w:line="276" w:lineRule="auto"/>
        <w:jc w:val="both"/>
      </w:pPr>
      <w:r>
        <w:rPr>
          <w:rFonts w:ascii="Times New Roman" w:hAnsi="Times New Roman"/>
          <w:b/>
          <w:sz w:val="22"/>
        </w:rPr>
        <w:t xml:space="preserve">Affordances, mapeo, consistencia y retroalimentación. </w:t>
      </w:r>
      <w:r>
        <w:rPr>
          <w:rFonts w:ascii="Times New Roman" w:hAnsi="Times New Roman"/>
          <w:sz w:val="22"/>
        </w:rPr>
        <w:t>La insignia es táctil/clicable para invitar a revisar el detalle, con un pequeño ícono de flecha que sugiere que hay más información. El mapeo es uno a uno entre estado del sistema y la combinación de color, ícono y texto mostrada, sin estados combinados que generen ambigüedad; el estado completada se representa con un ícono de verificación en gris neutro en vez de un cuarto color, para no saturar el código cromático. La consistencia exige que la misma combinación de colores, íconos y textos se use en todas las vistas (lista de citas del paciente, agenda del fisioterapeuta, panel del administrador). La retroalimentación se refuerza con una notificación al paciente cada vez que el estado cambia (por ejemplo, de amarillo a verde cuando el personal aprueba una excepción, o a gris cuando la sesión concluye).</w:t>
      </w:r>
    </w:p>
    <w:p>
      <w:pPr>
        <w:spacing w:before="80" w:after="120" w:line="276" w:lineRule="auto"/>
        <w:jc w:val="both"/>
      </w:pPr>
      <w:r>
        <w:rPr>
          <w:rFonts w:ascii="Times New Roman" w:hAnsi="Times New Roman"/>
          <w:b/>
          <w:sz w:val="22"/>
        </w:rPr>
        <w:t xml:space="preserve">Estados, reglas, validaciones y persistencia. </w:t>
      </w:r>
      <w:r>
        <w:rPr>
          <w:rFonts w:ascii="Times New Roman" w:hAnsi="Times New Roman"/>
          <w:sz w:val="22"/>
        </w:rPr>
        <w:t>Estados formales: confirmada, pendiente_revision, cancelada, completada. Regla de negocio: una cita solo puede pasar de pendiente_revision a confirmada mediante una acción explícita del fisioterapeuta o del personal administrativo, nunca de forma automática, preservando el criterio humano que exige el mecanismo híbrido para los casos excepcionales. La persistencia conserva el historial completo de cambios de estado con fecha y responsable, dato necesario para los indicadores de trazabilidad definidos en la Actividad 4.</w:t>
      </w:r>
    </w:p>
    <w:p>
      <w:pPr>
        <w:spacing w:before="80" w:after="120" w:line="276" w:lineRule="auto"/>
        <w:jc w:val="both"/>
      </w:pPr>
      <w:r>
        <w:rPr>
          <w:rFonts w:ascii="Times New Roman" w:hAnsi="Times New Roman"/>
          <w:b/>
          <w:sz w:val="22"/>
        </w:rPr>
        <w:t xml:space="preserve">Límite o riesgo cultural. </w:t>
      </w:r>
      <w:r>
        <w:rPr>
          <w:rFonts w:ascii="Times New Roman" w:hAnsi="Times New Roman"/>
          <w:sz w:val="22"/>
        </w:rPr>
        <w:t>Además del riesgo de daltonismo ya señalado, existe el riesgo de que algunos pacientes lean el amarillo como "algo salió mal" en vez de "en espera de aprobación normal", por lo que el texto que acompaña a la insignia debe ser explícito y evitar tecnicismos como "en revisión de excepción".</w:t>
      </w:r>
    </w:p>
    <w:p>
      <w:pPr>
        <w:spacing w:before="80" w:after="120" w:line="276" w:lineRule="auto"/>
        <w:jc w:val="both"/>
      </w:pPr>
      <w:r>
        <w:rPr>
          <w:rFonts w:ascii="Times New Roman" w:hAnsi="Times New Roman"/>
          <w:b/>
          <w:sz w:val="22"/>
        </w:rPr>
        <w:t xml:space="preserve">Prompt sugerido para Figma: </w:t>
      </w:r>
      <w:r>
        <w:rPr>
          <w:rFonts w:ascii="Times New Roman" w:hAnsi="Times New Roman"/>
          <w:sz w:val="22"/>
        </w:rPr>
        <w:t>"Lista de citas de un paciente en una app de fisioterapia, cada tarjeta con una insignia de estado en forma de punto de color (verde, amarillo, rojo) junto al texto del estado, diseño limpio con buen contraste."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808080"/>
        <w:sz w:val="18"/>
      </w:rPr>
      <w:t>Interacción Humano-Computadora | Actividad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