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jc w:val="center"/>
        <w:rPr>
          <w:shd w:fill="c6c6c6" w:val="clear"/>
        </w:rPr>
      </w:pPr>
      <w:r w:rsidDel="00000000" w:rsidR="00000000" w:rsidRPr="00000000">
        <w:rPr/>
        <w:drawing>
          <wp:inline distB="114300" distT="114300" distL="114300" distR="114300">
            <wp:extent cx="17272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0"/>
          <w:szCs w:val="20"/>
          <w:rtl w:val="0"/>
        </w:rPr>
        <w:t xml:space="preserve">​​</w:t>
      </w: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PLANO DE ENSINO/EMENTA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0"/>
          <w:szCs w:val="20"/>
          <w:rtl w:val="0"/>
        </w:rPr>
        <w:t xml:space="preserve">​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"/>
        <w:tblW w:w="9510.0" w:type="dxa"/>
        <w:jc w:val="left"/>
        <w:tblInd w:w="-4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980"/>
        <w:gridCol w:w="4530"/>
        <w:tblGridChange w:id="0">
          <w:tblGrid>
            <w:gridCol w:w="4980"/>
            <w:gridCol w:w="4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CURSO: Ciência da Computação / Engenharia de Software / Sistemas de Informação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DISCIPLINA: Projeto de Extensão Curricular / Atividades Curriculares de Extensão (ACE)</w:t>
            </w:r>
          </w:p>
        </w:tc>
      </w:tr>
      <w:tr>
        <w:trPr>
          <w:cantSplit w:val="0"/>
          <w:trHeight w:val="639.746093749999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CARGA HORÁRIA: 60h / 80h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PERÍODO: 2026.1 / 2026.2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SEMESTRE: Regular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MODALIDADE: Híbrido / Presencial com acompanhamento no AVA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EMENTA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sz w:val="24"/>
          <w:szCs w:val="24"/>
          <w:shd w:fill="c6c6c6" w:val="clear"/>
        </w:rPr>
      </w:pPr>
      <w:r>
        <w:t>Desenvolvimento e aplicação extensionista de soluções em Inteligência Artificial e Visão Computacional de baixo custo voltadas à saúde pública (SUS). Digitalização acessível de microscopia óptica laboratorial. Sistemas de apoio à decisão clínica e pré-triagem anatomopatológica. Interação multimodal (voz e visão) sem uso das mãos (hands-free) para ambientes laboratoriais estéreis. Avaliação de usabilidade (SUS Score), ética em IA na saúde, conformidade regulatória e transferência de tecnologia para laboratórios e comunidades acadêmico-hospitalares.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OBJETIVOS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jc w:val="both"/>
        <w:rPr>
          <w:shd w:fill="c6c6c6" w:val="clear"/>
        </w:rPr>
      </w:pPr>
      <w:r>
        <w:t>OBJETIVO GERAL:</w:t>
        <w:br/>
        <w:t>Desenvolver, adaptar e validar uma plataforma assistiva de inteligência artificial de baixo custo (HistoLens SmartScope AI) acoplada a microscópios ópticos convencionais, visando auxiliar na triagem preliminar de amostras e acelerar as filas de exames histopatológicos e citopatológicos na saúde pública (SUS).</w:t>
        <w:br/>
        <w:br/>
        <w:t>OBJETIVOS ESPECÍFICOS:</w:t>
        <w:br/>
        <w:t>1. Adaptar a arquitetura Edge-to-Cloud de IA para processamento em língua portuguesa (PT-BR), incluindo transcrição de voz (STT), síntese de áudio (TTS) com vocabulário histopatológico e orquestração de rotas cognitivas via Gemini e MedGemma 4B.</w:t>
        <w:br/>
        <w:t>2. Conectar adaptadores ópticos de baixo custo (suportes para câmeras USB/celular) a microscópios analógicos convencionais existentes na UCSAL ou postos de saúde parceiros.</w:t>
        <w:br/>
        <w:t>3. Conduzir testes práticos e workshops dialógicos com estudantes, técnicos laboratoriais e biomédicos, colhendo percepções de ergonomia e utilidade.</w:t>
        <w:br/>
        <w:t>4. Mensurar a redução do tempo de triagem preliminar e a usabilidade do sistema através da escala padronizada System Usability Scale (SUS).</w:t>
        <w:br/>
        <w:t>5. Produzir documentação técnica em software livre (código aberto no GitHub) e relatório de impacto social alinhado aos Objetivos de Desenvolvimento Sustentável da ONU (ODS 3, ODS 9 e ODS 10).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right="220" w:firstLine="0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CONTEÚDO PROGRAMÁTICO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right="220" w:firstLine="0"/>
        <w:rPr>
          <w:sz w:val="24"/>
          <w:szCs w:val="24"/>
          <w:shd w:fill="c6c6c6" w:val="clear"/>
        </w:rPr>
      </w:pPr>
      <w:r>
        <w:t>UNIDADE 1: Diagnóstico da Saúde Pública, Arquitetura Edge-to-Cloud e Adaptação em PT-BR</w:t>
        <w:br/>
        <w:t>• Diagnóstico situacional: o gargalo de biópsias no SUS, carência de patologistas e custo proibitivo de scanners comerciais de lâminas inteiras (WSI).</w:t>
        <w:br/>
        <w:t>• Princípios da Extensão Universitária e ODS da ONU (ODS 3 - Saúde e Bem-Estar e ODS 10 - Redução das Desigualdades).</w:t>
        <w:br/>
        <w:t>• Arquitetura HistoLens: modelo em 5 camadas (Captura, Entrada por Voz, Maestro Router, Visão Remota e Síntese Clínica).</w:t>
        <w:br/>
        <w:t>• Adaptação tecnológica para o português médico: ajuste de modelos Speech-to-Text e Text-to-Speech com termos de citologia e patologia.</w:t>
        <w:br/>
        <w:t>• Bancada e hardware frugal: acoplamento de câmeras USB a oculares e simulação de lâminas inteiras com o gêmeo digital (Microscopyo).</w:t>
        <w:br/>
        <w:br/>
        <w:t>UNIDADE 2: Implementação Prática, Interação Dialógica e Avaliação de Impacto Social</w:t>
        <w:br/>
        <w:t>• Articulação comunitária: imersão dialógica com técnicos de laboratório, biomédicos e estudantes da área de saúde da UCSAL.</w:t>
        <w:br/>
        <w:t>• Oficinas práticas de capacitação: demonstração da operação hands-free por comandos de voz na rotina laboratorial.</w:t>
        <w:br/>
        <w:t>• Avaliação de usabilidade e ergonomia: coleta e tabulação de dados via System Usability Scale (SUS).</w:t>
        <w:br/>
        <w:t>• Aspectos éticos e regulatórios: enquadramento como Sistema de Apoio à Decisão (CDSS) e conformidade com diretrizes do CFM/Anvisa e LGPD.</w:t>
        <w:br/>
        <w:t>• Elaboração do Relatório Final de Extensão, consolidação das métricas de impacto social e repositório livre no GitHub.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METODOLOGIA DE APRENDIZAGEM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>
        <w:t>A metodologia adotada fundamenta-se na Aprendizagem Baseada em Projetos (PBL) integrada às diretrizes da Extensão Universitária (Resolução CNE/CES nº 7/2018), articulando ensino, pesquisa aplicada e interação dialógica com a comunidade. O desenvolvimento técnico é aliado a atividades práticas de imersão junto a laboratórios e estudantes da área de saúde. Os momentos de tutoria e acompanhamento orientador ocorrerão via Ambiente Virtual de Aprendizagem (AVA) e reuniões periódicas, garantindo o protagonismo discente na resolução de um problema concreto da saúde pública.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METODOLOGIA DE AVALIAÇÃO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1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425.19685039370086" w:firstLine="0"/>
        <w:rPr>
          <w:rFonts w:ascii="Arial" w:cs="Arial" w:eastAsia="Arial" w:hAnsi="Arial"/>
          <w:sz w:val="24"/>
          <w:szCs w:val="24"/>
        </w:rPr>
      </w:pPr>
      <w:r>
        <w:t>Atividade Avaliativa 1 (Valor: 1,5): Diagnóstico do problema das filas de biópsias no SUS e documento de requisitos técnicos da adaptação em PT-BR.</w:t>
        <w:br/>
        <w:t>Atividade Avaliativa 2 (Valor: 1,5): Relatório técnico de bancada com validação do acoplamento da câmera USB e integração com o orquestrador Maestro.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425.19685039370086" w:firstLine="0"/>
        <w:rPr>
          <w:rFonts w:ascii="Arial" w:cs="Arial" w:eastAsia="Arial" w:hAnsi="Arial"/>
          <w:sz w:val="24"/>
          <w:szCs w:val="24"/>
        </w:rPr>
      </w:pPr>
      <w:r>
        <w:t>Marco Parcial / Protótipo (Valor: 7,0): Apresentação do protótipo funcional operando em tempo real com captura de imagem e comandos de voz.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 2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425.19685039370086" w:firstLine="0"/>
        <w:rPr>
          <w:rFonts w:ascii="Arial" w:cs="Arial" w:eastAsia="Arial" w:hAnsi="Arial"/>
          <w:sz w:val="24"/>
          <w:szCs w:val="24"/>
        </w:rPr>
      </w:pPr>
      <w:r>
        <w:t>Atividade Avaliativa 1 (Valor: 1,5): Planejamento e execução de oficina/workshop de demonstração com estudantes e técnicos de laboratório de saúde.</w:t>
        <w:br/>
        <w:t>Atividade Avaliativa 2 (Valor: 1,5): Relatório de usabilidade e ergonomia contendo a tabulação do System Usability Scale (SUS) e tempos de triagem.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425.19685039370086" w:firstLine="0"/>
        <w:rPr>
          <w:rFonts w:ascii="Arial" w:cs="Arial" w:eastAsia="Arial" w:hAnsi="Arial"/>
          <w:sz w:val="24"/>
          <w:szCs w:val="24"/>
        </w:rPr>
      </w:pPr>
      <w:r>
        <w:t>Relatório Final de Extensão (Valor: 7,0): Relatório conclusivo de impacto social, documentação de software livre e apresentação final do projeto.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ind w:left="-425.19685039370086" w:right="100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BIBLIOGRAFIA BÁSICA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rFonts w:ascii="Times New Roman" w:cs="Times New Roman" w:eastAsia="Times New Roman" w:hAnsi="Times New Roman"/>
          <w:sz w:val="27"/>
          <w:szCs w:val="27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rFonts w:ascii="Times New Roman" w:cs="Times New Roman" w:eastAsia="Times New Roman" w:hAnsi="Times New Roman"/>
          <w:sz w:val="27"/>
          <w:szCs w:val="27"/>
          <w:shd w:fill="c6c6c6" w:val="clear"/>
        </w:rPr>
      </w:pPr>
      <w:r>
        <w:t>1. RUSSELL, Stuart; NORVIG, Peter. Inteligência Artificial: Uma abordagem moderna. 4. ed. Rio de Janeiro: GEN LTC, 2022. (Minha Biblioteca).</w:t>
        <w:br/>
        <w:t>2. BRASIL. Ministério da Saúde. Estratégia de Saúde Digital para o Brasil 2020-2028. Brasília: Ministério da Saúde, 2020.</w:t>
        <w:br/>
        <w:t>3. KUNZ, R. et al. Visão Computacional e Processamento Digital de Imagens: Conceitos e Aplicações. São Paulo: Blucher, 2021.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cccccc" w:val="clear"/>
        <w:ind w:left="-425.19685039370086" w:firstLine="0"/>
        <w:jc w:val="center"/>
        <w:rPr>
          <w:color w:val="1c458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BIBLIOGRAFIA COMPLEMENTAR</w:t>
      </w:r>
      <w:r w:rsidDel="00000000" w:rsidR="00000000" w:rsidRPr="00000000">
        <w:rPr>
          <w:color w:val="1c458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rPr>
          <w:rFonts w:ascii="Times New Roman" w:cs="Times New Roman" w:eastAsia="Times New Roman" w:hAnsi="Times New Roman"/>
          <w:sz w:val="27"/>
          <w:szCs w:val="27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lineRule="auto"/>
        <w:ind w:left="-425.19685039370086" w:firstLine="0"/>
        <w:rPr>
          <w:rFonts w:ascii="Times New Roman" w:cs="Times New Roman" w:eastAsia="Times New Roman" w:hAnsi="Times New Roman"/>
          <w:sz w:val="27"/>
          <w:szCs w:val="27"/>
          <w:shd w:fill="c6c6c6" w:val="clear"/>
        </w:rPr>
      </w:pPr>
      <w:r>
        <w:t>1. NIAZI, M. K. K.; PARWANI, A. V.; GURCAN, M. N. Digital pathology and artificial intelligence. The Lancet Oncology, v. 20, n. 5, p. e253-e261, 2019.</w:t>
        <w:br/>
        <w:t>2. BRASIL. Conselho Nacional de Educação. Resolução CNE/CES nº 7/2018 (Diretrizes para a Extensão na Educação Superior Brasileira).</w:t>
        <w:br/>
        <w:t>3. LEEMING, G. et al. Digital twin architectures for healthcare and clinical laboratory automation. Journal of Biomedical Informatics, 2023.</w:t>
        <w:br/>
        <w:t>4. GOOGLE HEALTH. Foundation models for pathology: Applications and deployment strategies. Google Research Publications, 2024.</w:t>
        <w:br/>
        <w:t>5. REPOSITÓRIO OFICIAL DO PROJETO: https://github.com/ErickFJSantos314/Projeto-de-extens-o-UCSAL-Histolens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425.19685039370086" w:firstLine="0"/>
        <w:jc w:val="both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-425.19685039370086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