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Capítulo 1. Introducción</w:t>
      </w:r>
    </w:p>
    <w:p>
      <w:pPr>
        <w:pStyle w:val="Heading2"/>
        <w:spacing w:after="160" w:before="300"/>
      </w:pPr>
      <w:r>
        <w:t xml:space="preserve">1.1 Antecedentes</w:t>
      </w:r>
    </w:p>
    <w:p>
      <w:pPr>
        <w:spacing w:after="120"/>
      </w:pPr>
      <w:r>
        <w:t xml:space="preserve">En el Laboratorio de Bioquímica Estructural de la Escuela Nacional de Medicina y Homeopatía, analizar un experimento de nado forzado funciona así: el investigador abre el video en la computadora, pone en marcha un cronómetro y observa. Cada vez que la rata cambia de conducta (empieza a nadar, se queda inmóvil, intenta escalar las paredes del cilindro) registra la hora a mano. Al terminar los cinco minutos, tiene una tabla con los tiempos de cada conducta para una sola rata. Luego repite el proceso con la siguiente. Si el protocolo requiere que dos evaluadores hagan la anotación de forma independiente para verificar consistencia, el mismo video se revisa dos veces más.</w:t>
      </w:r>
    </w:p>
    <w:p>
      <w:pPr>
        <w:spacing w:after="120"/>
      </w:pPr>
      <w:r>
        <w:t xml:space="preserve">Ese proceso existe porque el nado forzado es el modelo conductual más usado en neurociencia preclínica para evaluar el efecto de antidepresivos en ratas. La depresión mayor afecta a más de 280 millones de personas y es una de las principales causas de discapacidad según la OMS. Para probar nuevas moléculas antes de pasar a ensayos clínicos en humanos, los investigadores necesitan modelos preclínicos con roedores que reproduzcan aspectos observables del trastorno. El más citado es la prueba de nado forzado (</w:t>
      </w:r>
      <w:r>
        <w:rPr>
          <w:i/>
          <w:iCs/>
        </w:rPr>
        <w:t xml:space="preserve">Forced Swim Test</w:t>
      </w:r>
      <w:r>
        <w:t xml:space="preserve">, FST), propuesta por Porsolt et al. en 1977; desde el año 2000 hay más de 8,000 artículos que lo reportan.</w:t>
      </w:r>
    </w:p>
    <w:p>
      <w:pPr>
        <w:spacing w:after="120"/>
      </w:pPr>
      <w:r>
        <w:t xml:space="preserve">El experimento consiste en colocar a la rata en un cilindro con agua del que no puede salir y registrar cómo responde. Al principio intenta escapar activamente; después de un rato empieza a flotar con movimientos mínimos. Esa conducta pasiva —llamada </w:t>
      </w:r>
      <w:r>
        <w:rPr>
          <w:i/>
          <w:iCs/>
        </w:rPr>
        <w:t xml:space="preserve">desesperanza conductual</w:t>
      </w:r>
      <w:r>
        <w:t xml:space="preserve"> o </w:t>
      </w:r>
      <w:r>
        <w:rPr>
          <w:i/>
          <w:iCs/>
        </w:rPr>
        <w:t xml:space="preserve">behavioral despair</w:t>
      </w:r>
      <w:r>
        <w:t xml:space="preserve">— se asocia con la pérdida de motivación propia de la depresión. Los antidepresivos reducen el tiempo de inmovilidad, y eso es lo que se mide.</w:t>
      </w:r>
    </w:p>
    <w:p>
      <w:pPr>
        <w:spacing w:after="120"/>
      </w:pPr>
      <w:r>
        <w:t xml:space="preserve">Las ratas son el modelo biológico estándar para este tipo de estudio. Su fisiología y neuroanatomía tienen correspondencia suficiente con la humana, en particular en la organización del sistema nervioso central y las respuestas neuroendocrinas al estrés. A eso se suman razones prácticas: manejo sencillo, ciclos reproductivos cortos y bajo costo de mantenimiento.</w:t>
      </w:r>
    </w:p>
    <w:p>
      <w:pPr>
        <w:spacing w:after="120"/>
      </w:pPr>
      <w:r>
        <w:t xml:space="preserve">El uso de ratas de laboratorio en México está regulado por la Norma Oficial Mexicana NOM-062-ZOO-1999, que establece las especificaciones éticas, sanitarias y de bienestar animal para su cuidado y uso experimental. El laboratorio colaborador opera bajo esas disposiciones; este proyecto solo analiza los videos que resultan de los experimentos, sin intervenir en ningún procedimiento con los especímenes.</w:t>
      </w:r>
    </w:p>
    <w:p>
      <w:pPr>
        <w:spacing w:after="120"/>
      </w:pPr>
      <w:r>
        <w:t xml:space="preserve">Existen herramientas para automatizar parte del análisis. EthoVision XT y ANY-maze son las comerciales más usadas; ezTrack y DBscorer son las alternativas abiertas más específicas para el FST. Todas tienen el mismo problema: no distinguen las tres conductas relevantes del FST (nado, inmovilidad y escalamiento) por separado, y ninguna tiene interfaz web. Los trabajos más recientes con aprendizaje profundo sí alcanzan esa clasificación de tres clases, pero no se distribuyen como sistemas que un laboratorio sin infraestructura especializada pueda desplegar.</w:t>
      </w:r>
    </w:p>
    <w:p>
      <w:pPr>
        <w:spacing w:after="120"/>
      </w:pPr>
      <w:r>
        <w:t xml:space="preserve">El Laboratorio de Bioquímica Estructural, Sección de Posgrado, de la Escuela Nacional de Medicina y Homeopatía (ENMyH-IPN), a cargo del Dr. César Augusto Sandino Reyes López, corre experimentos de FST regularmente y tiene un acervo de videos que hoy se analizan a mano. Esa es la necesidad que origina este Trabajo Terminal.</w:t>
      </w:r>
    </w:p>
    <w:p>
      <w:pPr>
        <w:spacing w:after="120"/>
      </w:pPr>
      <w:r>
        <w:t xml:space="preserve">En un experimento de FST típico, las ratas se dividen en tres grupos de entre 6 y 8 especímenes cada uno. Cada grupo cumple un papel distinto en la evaluación, como se muestra en la Tabla 1.1.</w:t>
      </w:r>
    </w:p>
    <w:p>
      <w:pPr>
        <w:spacing w:after="60"/>
      </w:pPr>
      <w:r>
        <w:t xml:space="preserve"/>
      </w:r>
    </w:p>
    <w:p>
      <w:pPr>
        <w:spacing w:after="120"/>
      </w:pPr>
      <w:r>
        <w:rPr>
          <w:b/>
          <w:bCs/>
        </w:rPr>
        <w:t xml:space="preserve">Tabla 1.1. Grupos experimentales en un protocolo estándar de FST.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Grupo</w:t>
            </w:r>
          </w:p>
        </w:tc>
        <w:tc>
          <w:tcPr>
            <w:tcW w:type="dxa" w:w="63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Intervención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Control</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Sin tratamiento farmacológico. Las ratas solo son sometidas al protocolo de nado forzado (20 min el día 1, 5 min el día 2). Sus conductas establecen la línea base contra la que se comparan los demás grupos.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Referencia (fluoxetina)</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Recibe fluoxetina, un antidepresivo de efecto conocido. Si el fármaco funciona, se espera una reducción del tiempo de inmovilidad respecto al grupo control. Este grupo confirma que el protocolo detecta un efecto farmacológico real.</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Tratamiento experimental</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Recibe la nueva molécula o intervención que se está evaluando (por ejemplo, un compuesto en fase preclínica o un tratamiento no farmacológico como acupuntura). Sus conductas se comparan con las del grupo control y las del grupo de referencia: si el perfil conductual se parece al del grupo que recibió fluoxetina, hay evidencia de efecto antidepresivo.</w:t>
            </w:r>
          </w:p>
        </w:tc>
      </w:tr>
    </w:tbl>
    <w:p>
      <w:pPr>
        <w:spacing w:after="60"/>
      </w:pPr>
      <w:r>
        <w:t xml:space="preserve"/>
      </w:r>
    </w:p>
    <w:p>
      <w:pPr>
        <w:pStyle w:val="Heading2"/>
        <w:spacing w:after="160" w:before="300"/>
      </w:pPr>
      <w:r>
        <w:t xml:space="preserve">1.2 Planteamiento del problema</w:t>
      </w:r>
    </w:p>
    <w:p>
      <w:pPr>
        <w:spacing w:after="120"/>
      </w:pPr>
      <w:r>
        <w:t xml:space="preserve">El laboratorio realiza experimentos de nado forzado de forma periódica para evaluar el efecto de distintas moléculas en grupos de ratas. Cada experimento graba cuatro ratas al mismo tiempo desde una vista lateral, en dos sesiones: 20 minutos el primer día y 5 minutos el segundo.</w:t>
      </w:r>
    </w:p>
    <w:p>
      <w:pPr>
        <w:spacing w:after="120"/>
      </w:pPr>
      <w:r>
        <w:t xml:space="preserve">El análisis de esos videos se hace completamente a mano. Anotar el video de 5 minutos de un espécimen —cronómetro en mano, observando la grabación cuadro a cuadro— lleva entre una hora y media y dos horas. Si el protocolo incluye que dos evaluadores anotan de forma independiente para verificar consistencia, ese tiempo se multiplica. Por semestre, el laboratorio puede acumular entre 32 y 40 videos de ese tipo; en el peor caso, eso representa más de 200 horas-persona dedicadas solo a anotación manual.</w:t>
      </w:r>
    </w:p>
    <w:p>
      <w:pPr>
        <w:spacing w:after="120"/>
      </w:pPr>
      <w:r>
        <w:t xml:space="preserve">Los problemas que genera ese proceso son los siguientes:</w:t>
      </w:r>
    </w:p>
    <w:p>
      <w:pPr>
        <w:pStyle w:val="ListParagraph"/>
        <w:numPr>
          <w:ilvl w:val="0"/>
          <w:numId w:val="2"/>
        </w:numPr>
        <w:spacing w:after="80"/>
      </w:pPr>
      <w:r>
        <w:rPr>
          <w:b/>
          <w:bCs/>
        </w:rPr>
        <w:t xml:space="preserve">Costo de tiempo: </w:t>
      </w:r>
      <w:r>
        <w:t xml:space="preserve">el volumen de anotación manual limita cuántos experimentos puede procesar el laboratorio en un período.</w:t>
      </w:r>
    </w:p>
    <w:p>
      <w:pPr>
        <w:pStyle w:val="ListParagraph"/>
        <w:numPr>
          <w:ilvl w:val="0"/>
          <w:numId w:val="2"/>
        </w:numPr>
        <w:spacing w:after="80"/>
      </w:pPr>
      <w:r>
        <w:rPr>
          <w:b/>
          <w:bCs/>
        </w:rPr>
        <w:t xml:space="preserve">Variabilidad entre evaluadores: </w:t>
      </w:r>
      <w:r>
        <w:t xml:space="preserve">las transiciones entre conductas —el momento exacto en que la rata pasa de nadar a quedarse inmóvil, por ejemplo— no siempre son nítidas. Dos evaluadores pueden registrar tiempos distintos para la misma rata en el mismo video. Cuando eso ocurre, el investigador debe decidir qué número incluir en el reporte; esa decisión no tiene criterio formal y afecta la reproducibilidad de los resultados. La norma ISO/IEC 25010:2023 define la consistencia entre evaluaciones como un atributo de calidad funcional (</w:t>
      </w:r>
      <w:r>
        <w:rPr>
          <w:i/>
          <w:iCs/>
        </w:rPr>
        <w:t xml:space="preserve">correctness</w:t>
      </w:r>
      <w:r>
        <w:t xml:space="preserve">) que un sistema automatizado puede garantizar donde el proceso manual no puede.</w:t>
      </w:r>
    </w:p>
    <w:p>
      <w:pPr>
        <w:pStyle w:val="ListParagraph"/>
        <w:numPr>
          <w:ilvl w:val="0"/>
          <w:numId w:val="2"/>
        </w:numPr>
        <w:spacing w:after="80"/>
      </w:pPr>
      <w:r>
        <w:rPr>
          <w:b/>
          <w:bCs/>
        </w:rPr>
        <w:t xml:space="preserve">Sin registro centralizado: </w:t>
      </w:r>
      <w:r>
        <w:t xml:space="preserve">los resultados quedan dispersos en hojas de cálculo y notas sueltas, sin forma directa de comparar sesiones o grupos entre sí.</w:t>
      </w:r>
    </w:p>
    <w:p>
      <w:pPr>
        <w:pStyle w:val="ListParagraph"/>
        <w:numPr>
          <w:ilvl w:val="0"/>
          <w:numId w:val="2"/>
        </w:numPr>
        <w:spacing w:after="80"/>
      </w:pPr>
      <w:r>
        <w:rPr>
          <w:b/>
          <w:bCs/>
        </w:rPr>
        <w:t xml:space="preserve">Análisis temporal limitado: </w:t>
      </w:r>
      <w:r>
        <w:t xml:space="preserve">un desglose minuto a minuto sería útil para ver la dinámica del efecto farmacológico a lo largo de la sesión, pero producirlo a mano es inviable en la práctica.</w:t>
      </w:r>
    </w:p>
    <w:p>
      <w:pPr>
        <w:spacing w:after="120"/>
      </w:pPr>
      <w:r>
        <w:t xml:space="preserve">Eso limita la capacidad de producción del laboratorio y hace difícil estandarizar los resultados para compararlos con los de otros grupos de investigación.</w:t>
      </w:r>
    </w:p>
    <w:p>
      <w:pPr>
        <w:pStyle w:val="Heading2"/>
        <w:spacing w:after="160" w:before="300"/>
      </w:pPr>
      <w:r>
        <w:t xml:space="preserve">1.3 Propuesta de solución</w:t>
      </w:r>
    </w:p>
    <w:p>
      <w:pPr>
        <w:spacing w:after="120"/>
      </w:pPr>
      <w:r>
        <w:t xml:space="preserve">En términos concretos: el investigador sube el video al sistema desde el navegador, el sistema lo analiza y en minutos genera un reporte con los tiempos de nado activo, inmovilidad e intentos de escape por espécimen y sesión. Lo que hoy lleva horas de anotación manual, el sistema lo produce de forma automática y con los mismos criterios cada vez.</w:t>
      </w:r>
    </w:p>
    <w:p>
      <w:pPr>
        <w:spacing w:after="120"/>
      </w:pPr>
      <w:r>
        <w:t xml:space="preserve">El sistema es una herramienta de apoyo a la investigación preclínica en farmacología. No diagnostica depresión ni produce información de uso clínico; su propósito es reemplazar la anotación manual de videos experimentales.</w:t>
      </w:r>
    </w:p>
    <w:p>
      <w:pPr>
        <w:spacing w:after="120"/>
      </w:pPr>
      <w:r>
        <w:t xml:space="preserve">La propuesta es un prototipo de sistema web con visión por computadora y aprendizaje supervisado que analice automáticamente los videos del FST del laboratorio. El desarrollo sigue el ciclo de vida de software de la norma ISO/IEC/IEEE 12207:2017, que organiza el proceso en fases de definición de requerimientos, diseño, implementación y verificación.</w:t>
      </w:r>
    </w:p>
    <w:p>
      <w:pPr>
        <w:spacing w:after="120"/>
      </w:pPr>
      <w:r>
        <w:t xml:space="preserve">El sistema tiene dos partes:</w:t>
      </w:r>
    </w:p>
    <w:p>
      <w:pPr>
        <w:pStyle w:val="ListParagraph"/>
        <w:numPr>
          <w:ilvl w:val="0"/>
          <w:numId w:val="2"/>
        </w:numPr>
        <w:spacing w:after="80"/>
      </w:pPr>
      <w:r>
        <w:rPr>
          <w:b/>
          <w:bCs/>
        </w:rPr>
        <w:t xml:space="preserve">Pipeline de análisis de video: </w:t>
      </w:r>
      <w:r>
        <w:t xml:space="preserve">recibe el video, identifica a cada rata dentro de su cilindro y clasifica cuadro a cuadro la conducta que realiza (nado, inmovilidad o escalamiento) con un modelo de aprendizaje supervisado. La salida es el tiempo total por conducta y rata y, como funcionalidad opcional, el desglose por minuto.</w:t>
      </w:r>
    </w:p>
    <w:p>
      <w:pPr>
        <w:pStyle w:val="ListParagraph"/>
        <w:numPr>
          <w:ilvl w:val="0"/>
          <w:numId w:val="2"/>
        </w:numPr>
        <w:spacing w:after="80"/>
      </w:pPr>
      <w:r>
        <w:rPr>
          <w:b/>
          <w:bCs/>
        </w:rPr>
        <w:t xml:space="preserve">Plataforma web: </w:t>
      </w:r>
      <w:r>
        <w:t xml:space="preserve">interfaz desde el navegador donde el investigador sube los videos, consulta el estado del análisis, revisa resultados por rata y sesión, y descarga reportes. Los datos se almacenan en base de datos para comparar experimentos.</w:t>
      </w:r>
    </w:p>
    <w:p>
      <w:pPr>
        <w:spacing w:after="120"/>
      </w:pPr>
      <w:r>
        <w:t xml:space="preserve">El sistema asume calidad mínima de entrada: vista lateral con los cuatro cilindros visibles, contraste suficiente entre la rata y el fondo, y cámara estable. El desempeño del clasificador se evalúa con métricas de clasificación estándar (precisión, </w:t>
      </w:r>
      <w:r>
        <w:rPr>
          <w:i/>
          <w:iCs/>
        </w:rPr>
        <w:t xml:space="preserve">recall</w:t>
      </w:r>
      <w:r>
        <w:t xml:space="preserve"> y F1 por clase) sobre un conjunto de prueba independiente.</w:t>
      </w:r>
    </w:p>
    <w:p>
      <w:pPr>
        <w:pStyle w:val="Heading2"/>
        <w:spacing w:after="160" w:before="300"/>
      </w:pPr>
      <w:r>
        <w:t xml:space="preserve">1.4 Objetivo general</w:t>
      </w:r>
    </w:p>
    <w:p>
      <w:pPr>
        <w:spacing w:after="120"/>
      </w:pPr>
      <w:r>
        <w:t xml:space="preserve">Diseñar, desarrollar y validar un prototipo de sistema web con visión por computadora y aprendizaje supervisado que automatice la detección y cuantificación de las conductas de la prueba de nado forzado en ratas —nado activo, inmovilidad e intentos de escape— con resultados comparables a la evaluación manual del laboratorio y cumpliendo los atributos de calidad de la norma ISO/IEC 25010:2023.</w:t>
      </w:r>
    </w:p>
    <w:p>
      <w:pPr>
        <w:pStyle w:val="Heading3"/>
        <w:spacing w:after="120" w:before="200"/>
      </w:pPr>
      <w:r>
        <w:t xml:space="preserve">1.4.1 Objetivos específicos</w:t>
      </w:r>
    </w:p>
    <w:p>
      <w:pPr>
        <w:pStyle w:val="ListParagraph"/>
        <w:numPr>
          <w:ilvl w:val="0"/>
          <w:numId w:val="3"/>
        </w:numPr>
        <w:spacing w:after="80"/>
      </w:pPr>
      <w:r>
        <w:t xml:space="preserve">Revisar trabajos y herramientas existentes para el análisis automatizado del FST e identificar los enfoques de visión por computadora y clasificación supervisada más adecuados al problema.</w:t>
      </w:r>
    </w:p>
    <w:p>
      <w:pPr>
        <w:pStyle w:val="ListParagraph"/>
        <w:numPr>
          <w:ilvl w:val="0"/>
          <w:numId w:val="3"/>
        </w:numPr>
        <w:spacing w:after="80"/>
      </w:pPr>
      <w:r>
        <w:t xml:space="preserve">Documentar el protocolo experimental del laboratorio: qué conductas se anotan, cómo se graba, y qué características tienen los videos disponibles. Esto requiere entrevistas con el equipo del Dr. Sandino y revisión de los registros conductuales que éste proporcionará.</w:t>
      </w:r>
    </w:p>
    <w:p>
      <w:pPr>
        <w:pStyle w:val="ListParagraph"/>
        <w:numPr>
          <w:ilvl w:val="0"/>
          <w:numId w:val="3"/>
        </w:numPr>
        <w:spacing w:after="80"/>
      </w:pPr>
      <w:r>
        <w:t xml:space="preserve">Diseñar la arquitectura del sistema conforme al proceso de diseño de software de la ISO/IEC/IEEE 12207:2017, definiendo los módulos de carga de videos, pipeline de análisis, base de datos y visualización de resultados.</w:t>
      </w:r>
    </w:p>
    <w:p>
      <w:pPr>
        <w:pStyle w:val="ListParagraph"/>
        <w:numPr>
          <w:ilvl w:val="0"/>
          <w:numId w:val="3"/>
        </w:numPr>
        <w:spacing w:after="80"/>
      </w:pPr>
      <w:r>
        <w:t xml:space="preserve">Implementar el módulo de análisis conductual con visión por computadora y un clasificador supervisado para las tres conductas del FST.</w:t>
      </w:r>
    </w:p>
    <w:p>
      <w:pPr>
        <w:pStyle w:val="ListParagraph"/>
        <w:numPr>
          <w:ilvl w:val="0"/>
          <w:numId w:val="3"/>
        </w:numPr>
        <w:spacing w:after="80"/>
      </w:pPr>
      <w:r>
        <w:t xml:space="preserve">Evaluar el desempeño del clasificador de conductas con métricas de clasificación estándar (precisión, </w:t>
      </w:r>
      <w:r>
        <w:rPr>
          <w:i/>
          <w:iCs/>
        </w:rPr>
        <w:t xml:space="preserve">recall</w:t>
      </w:r>
      <w:r>
        <w:t xml:space="preserve"> y F1 por clase) sobre un conjunto de prueba independiente.</w:t>
      </w:r>
    </w:p>
    <w:p>
      <w:pPr>
        <w:pStyle w:val="ListParagraph"/>
        <w:numPr>
          <w:ilvl w:val="0"/>
          <w:numId w:val="3"/>
        </w:numPr>
        <w:spacing w:after="80"/>
      </w:pPr>
      <w:r>
        <w:t xml:space="preserve">Cuantificar la reducción de tiempo de análisis respecto al proceso manual, y dejar documentado qué tendría que cambiar en el pipeline si el laboratorio quisiera aplicarlo a otro paradigma conductual.</w:t>
      </w:r>
    </w:p>
    <w:p>
      <w:pPr>
        <w:pStyle w:val="Heading2"/>
        <w:spacing w:after="160" w:before="300"/>
      </w:pPr>
      <w:r>
        <w:t xml:space="preserve">1.5 Justificación</w:t>
      </w:r>
    </w:p>
    <w:p>
      <w:pPr>
        <w:spacing w:after="120"/>
      </w:pPr>
      <w:r>
        <w:t xml:space="preserve">En un semestre con entre 32 y 40 videos que anotar, el laboratorio puede acumular más de 200 horas-persona dedicadas exclusivamente a reproducir grabaciones con cronómetro. Con el método manual, anotar el video de 5 minutos de un espécimen lleva entre una hora y media a dos horas; si dos evaluadores lo hacen de forma independiente para verificar consistencia, ese tiempo se duplica. Son horas que los investigadores no están usando para diseñar experimentos, analizar resultados ni escribir publicaciones.</w:t>
      </w:r>
    </w:p>
    <w:p>
      <w:pPr>
        <w:spacing w:after="120"/>
      </w:pPr>
      <w:r>
        <w:t xml:space="preserve">El impacto en reproducibilidad importa igual para la ciencia. Cuando dos evaluadores obtienen tiempos distintos para la misma rata —algo habitual en las transiciones entre conductas— el investigador debe decidir qué número reportar. Esa decisión no tiene criterio formal: depende del evaluador, y distintos laboratorios pueden resolverla de forma diferente. El resultado es que el mismo experimento puede producir datos distintos en manos distintas, lo que complica comparar publicaciones entre grupos de investigación. Un sistema automatizado produce siempre el mismo resultado para el mismo video. Si hay error, es el mismo error en todos los casos: documentable y corregible, no aleatorio.</w:t>
      </w:r>
    </w:p>
    <w:p>
      <w:pPr>
        <w:spacing w:after="120"/>
      </w:pPr>
      <w:r>
        <w:t xml:space="preserve">Las herramientas existentes no cubren las necesidades del laboratorio. EthoVision XT y ANY-maze tienen costos de licencia fuera del alcance académico del IPN. ezTrack y DBscorer no clasifican las tres conductas del FST por separado. Los trabajos con aprendizaje profundo que sí distinguen las tres conductas no se distribuyen como sistemas desplegables sin infraestructura especializada. Este prototipo atiende esas tres brechas: clasifica tres conductas, sin costo de licencia, con interfaz web accesible desde el navegador.</w:t>
      </w:r>
    </w:p>
    <w:p>
      <w:pPr>
        <w:spacing w:after="120"/>
      </w:pPr>
      <w:r>
        <w:t xml:space="preserve">En cuanto a calidad del software, el sistema se diseña para cumplir atributos concretos de la ISO/IEC 25010:2023: </w:t>
      </w:r>
      <w:r>
        <w:rPr>
          <w:i/>
          <w:iCs/>
        </w:rPr>
        <w:t xml:space="preserve">functional correctness</w:t>
      </w:r>
      <w:r>
        <w:t xml:space="preserve"> (corrección funcional), que mide la consistencia de los resultados con las anotaciones del laboratorio; </w:t>
      </w:r>
      <w:r>
        <w:rPr>
          <w:i/>
          <w:iCs/>
        </w:rPr>
        <w:t xml:space="preserve">time behaviour</w:t>
      </w:r>
      <w:r>
        <w:t xml:space="preserve"> (desempeño temporal), que establece que el análisis debe terminar en un tiempo asumible en el flujo de trabajo; y </w:t>
      </w:r>
      <w:r>
        <w:rPr>
          <w:i/>
          <w:iCs/>
        </w:rPr>
        <w:t xml:space="preserve">usability</w:t>
      </w:r>
      <w:r>
        <w:t xml:space="preserve"> (usabilidad), que garantiza que un investigador sin conocimientos de programación puede operar el sistema sin ayuda técnica. Esos tres atributos son los criterios de aceptación de la validación final.</w:t>
      </w:r>
    </w:p>
    <w:p>
      <w:pPr>
        <w:pStyle w:val="Heading2"/>
        <w:spacing w:after="160" w:before="300"/>
      </w:pPr>
      <w:r>
        <w:t xml:space="preserve">1.6 Alcance del proyecto</w:t>
      </w:r>
    </w:p>
    <w:p>
      <w:pPr>
        <w:spacing w:after="120"/>
      </w:pPr>
      <w:r>
        <w:rPr>
          <w:b/>
          <w:bCs/>
        </w:rPr>
        <w:t xml:space="preserve">Incluido en el alcance</w:t>
      </w:r>
    </w:p>
    <w:p>
      <w:pPr>
        <w:pStyle w:val="ListParagraph"/>
        <w:numPr>
          <w:ilvl w:val="0"/>
          <w:numId w:val="2"/>
        </w:numPr>
        <w:spacing w:after="80"/>
      </w:pPr>
      <w:r>
        <w:rPr>
          <w:b/>
          <w:bCs/>
        </w:rPr>
        <w:t xml:space="preserve">Videos a analizar: </w:t>
      </w:r>
      <w:r>
        <w:t xml:space="preserve">grabaciones del FST del laboratorio ENMyH-IPN en formato MP4, tomadas con vista lateral, con los cuatro cilindros visibles simultáneamente en el encuadre y cámara estacionaria. El video principal que el sistema procesa es el del día 2 (5 min) para cada espécimen de todos los grupos experimentales. Los primeros 5 min del día 1 del grupo control pueden cargarse opcionalmente como referencia basal.</w:t>
      </w:r>
    </w:p>
    <w:p>
      <w:pPr>
        <w:pStyle w:val="ListParagraph"/>
        <w:numPr>
          <w:ilvl w:val="0"/>
          <w:numId w:val="2"/>
        </w:numPr>
        <w:spacing w:after="80"/>
      </w:pPr>
      <w:r>
        <w:rPr>
          <w:b/>
          <w:bCs/>
        </w:rPr>
        <w:t xml:space="preserve">Detección y seguimiento de especímenes: </w:t>
      </w:r>
      <w:r>
        <w:t xml:space="preserve">identificación automática de hasta cuatro ratas dentro de la grabación, distinguiéndolas por su posición en el encuadre.</w:t>
      </w:r>
    </w:p>
    <w:p>
      <w:pPr>
        <w:pStyle w:val="ListParagraph"/>
        <w:numPr>
          <w:ilvl w:val="0"/>
          <w:numId w:val="2"/>
        </w:numPr>
        <w:spacing w:after="80"/>
      </w:pPr>
      <w:r>
        <w:rPr>
          <w:b/>
          <w:bCs/>
        </w:rPr>
        <w:t xml:space="preserve">Clasificación de conductas: </w:t>
      </w:r>
      <w:r>
        <w:t xml:space="preserve">el sistema clasifica de forma continua las tres conductas del FST: nado activo, inmovilidad e intentos de escape (escalamiento). El buceo se clasifica como nado activo. Para contabilizarse, un episodio debe tener una duración mínima de tres segundos consecutivos.</w:t>
      </w:r>
    </w:p>
    <w:p>
      <w:pPr>
        <w:pStyle w:val="ListParagraph"/>
        <w:numPr>
          <w:ilvl w:val="0"/>
          <w:numId w:val="2"/>
        </w:numPr>
        <w:spacing w:after="80"/>
      </w:pPr>
      <w:r>
        <w:rPr>
          <w:b/>
          <w:bCs/>
        </w:rPr>
        <w:t xml:space="preserve">Métricas por espécimen y por grupo: </w:t>
      </w:r>
      <w:r>
        <w:t xml:space="preserve">tiempo total de cada conducta en los 5 min del día 2, desglose por minuto como funcionalidad opcional, y estadísticos de grupo (media, desviación estándar y varianza por conducta).</w:t>
      </w:r>
    </w:p>
    <w:p>
      <w:pPr>
        <w:pStyle w:val="ListParagraph"/>
        <w:numPr>
          <w:ilvl w:val="0"/>
          <w:numId w:val="2"/>
        </w:numPr>
        <w:spacing w:after="80"/>
      </w:pPr>
      <w:r>
        <w:rPr>
          <w:b/>
          <w:bCs/>
        </w:rPr>
        <w:t xml:space="preserve">Reportes y exportaciones: </w:t>
      </w:r>
      <w:r>
        <w:t xml:space="preserve">reporte de diagnóstico en PDF con indicadores de calidad del análisis; exportación de datos en CSV y en XLSX con columnas Tiempo (min:seg), Nado activo, Escalamiento e Inmovilidad.</w:t>
      </w:r>
    </w:p>
    <w:p>
      <w:pPr>
        <w:pStyle w:val="ListParagraph"/>
        <w:numPr>
          <w:ilvl w:val="0"/>
          <w:numId w:val="2"/>
        </w:numPr>
        <w:spacing w:after="80"/>
      </w:pPr>
      <w:r>
        <w:rPr>
          <w:b/>
          <w:bCs/>
        </w:rPr>
        <w:t xml:space="preserve">Plataforma web: </w:t>
      </w:r>
      <w:r>
        <w:t xml:space="preserve">interfaz accesible desde el navegador con registro de usuario con aprobación del administrador, carga de videos, cola de procesamiento secuencial para hasta cuatro análisis en un mismo período, consulta de resultados y descarga de reportes.</w:t>
      </w:r>
    </w:p>
    <w:p>
      <w:pPr>
        <w:pStyle w:val="ListParagraph"/>
        <w:numPr>
          <w:ilvl w:val="0"/>
          <w:numId w:val="2"/>
        </w:numPr>
        <w:spacing w:after="80"/>
      </w:pPr>
      <w:r>
        <w:rPr>
          <w:b/>
          <w:bCs/>
        </w:rPr>
        <w:t xml:space="preserve">Comparación entre sesiones: </w:t>
      </w:r>
      <w:r>
        <w:t xml:space="preserve">los resultados del día 1 y del día 2 quedan disponibles en la misma vista para el mismo espécimen.</w:t>
      </w:r>
    </w:p>
    <w:p>
      <w:pPr>
        <w:spacing w:after="60"/>
      </w:pPr>
      <w:r>
        <w:t xml:space="preserve"/>
      </w:r>
    </w:p>
    <w:p>
      <w:pPr>
        <w:spacing w:after="120"/>
      </w:pPr>
      <w:r>
        <w:rPr>
          <w:b/>
          <w:bCs/>
        </w:rPr>
        <w:t xml:space="preserve">Fuera del alcance</w:t>
      </w:r>
    </w:p>
    <w:p>
      <w:pPr>
        <w:pStyle w:val="ListParagraph"/>
        <w:numPr>
          <w:ilvl w:val="0"/>
          <w:numId w:val="2"/>
        </w:numPr>
        <w:spacing w:after="80"/>
      </w:pPr>
      <w:r>
        <w:rPr>
          <w:b/>
          <w:bCs/>
        </w:rPr>
        <w:t xml:space="preserve">Diagnóstico clínico: </w:t>
      </w:r>
      <w:r>
        <w:t xml:space="preserve">el sistema mide conductas dentro de un protocolo experimental preclínico. No produce información de uso clínico ni permite inferir diagnósticos de depresión u otros trastornos.</w:t>
      </w:r>
    </w:p>
    <w:p>
      <w:pPr>
        <w:pStyle w:val="ListParagraph"/>
        <w:numPr>
          <w:ilvl w:val="0"/>
          <w:numId w:val="2"/>
        </w:numPr>
        <w:spacing w:after="80"/>
      </w:pPr>
      <w:r>
        <w:rPr>
          <w:b/>
          <w:bCs/>
        </w:rPr>
        <w:t xml:space="preserve">Video completo del día 1: </w:t>
      </w:r>
      <w:r>
        <w:t xml:space="preserve">el experimento del día 1 dura 20 minutos; el sistema no procesa ese video completo.</w:t>
      </w:r>
    </w:p>
    <w:p>
      <w:pPr>
        <w:pStyle w:val="ListParagraph"/>
        <w:numPr>
          <w:ilvl w:val="0"/>
          <w:numId w:val="2"/>
        </w:numPr>
        <w:spacing w:after="80"/>
      </w:pPr>
      <w:r>
        <w:rPr>
          <w:b/>
          <w:bCs/>
        </w:rPr>
        <w:t xml:space="preserve">Corrección automática de calidad de video: </w:t>
      </w:r>
      <w:r>
        <w:t xml:space="preserve">si el análisis detecta condiciones desfavorables, el sistema genera un reporte de diagnóstico pero no corrige el video. El umbral mínimo de confianza es 0.70.</w:t>
      </w:r>
    </w:p>
    <w:p>
      <w:pPr>
        <w:pStyle w:val="ListParagraph"/>
        <w:numPr>
          <w:ilvl w:val="0"/>
          <w:numId w:val="2"/>
        </w:numPr>
        <w:spacing w:after="80"/>
      </w:pPr>
      <w:r>
        <w:rPr>
          <w:b/>
          <w:bCs/>
        </w:rPr>
        <w:t xml:space="preserve">Comparación automática entre grupos experimentales.</w:t>
      </w:r>
    </w:p>
    <w:p>
      <w:pPr>
        <w:pStyle w:val="ListParagraph"/>
        <w:numPr>
          <w:ilvl w:val="0"/>
          <w:numId w:val="2"/>
        </w:numPr>
        <w:spacing w:after="80"/>
      </w:pPr>
      <w:r>
        <w:rPr>
          <w:b/>
          <w:bCs/>
        </w:rPr>
        <w:t xml:space="preserve">Reentrenamiento del clasificador.</w:t>
      </w:r>
    </w:p>
    <w:p>
      <w:pPr>
        <w:pStyle w:val="ListParagraph"/>
        <w:numPr>
          <w:ilvl w:val="0"/>
          <w:numId w:val="2"/>
        </w:numPr>
        <w:spacing w:after="80"/>
      </w:pPr>
      <w:r>
        <w:rPr>
          <w:b/>
          <w:bCs/>
        </w:rPr>
        <w:t xml:space="preserve">Análisis en tiempo real.</w:t>
      </w:r>
    </w:p>
    <w:p>
      <w:pPr>
        <w:pStyle w:val="ListParagraph"/>
        <w:numPr>
          <w:ilvl w:val="0"/>
          <w:numId w:val="2"/>
        </w:numPr>
        <w:spacing w:after="80"/>
      </w:pPr>
      <w:r>
        <w:rPr>
          <w:b/>
          <w:bCs/>
        </w:rPr>
        <w:t xml:space="preserve">Aplicación móvil.</w:t>
      </w:r>
    </w:p>
    <w:p>
      <w:pPr>
        <w:pStyle w:val="ListParagraph"/>
        <w:numPr>
          <w:ilvl w:val="0"/>
          <w:numId w:val="2"/>
        </w:numPr>
        <w:spacing w:after="80"/>
      </w:pPr>
      <w:r>
        <w:rPr>
          <w:b/>
          <w:bCs/>
        </w:rPr>
        <w:t xml:space="preserve">Intervención en los experimentos.</w:t>
      </w:r>
    </w:p>
    <w:p>
      <w:pPr>
        <w:pStyle w:val="ListParagraph"/>
        <w:numPr>
          <w:ilvl w:val="0"/>
          <w:numId w:val="2"/>
        </w:numPr>
        <w:spacing w:after="80"/>
      </w:pPr>
      <w:r>
        <w:rPr>
          <w:b/>
          <w:bCs/>
        </w:rPr>
        <w:t xml:space="preserve">Despliegue institucional definitivo: </w:t>
      </w:r>
      <w:r>
        <w:t xml:space="preserve">el producto es un prototipo funcional validado.</w:t>
      </w:r>
    </w:p>
    <w:p>
      <w:pPr>
        <w:pStyle w:val="ListParagraph"/>
        <w:numPr>
          <w:ilvl w:val="0"/>
          <w:numId w:val="2"/>
        </w:numPr>
        <w:spacing w:after="80"/>
      </w:pPr>
      <w:r>
        <w:rPr>
          <w:b/>
          <w:bCs/>
        </w:rPr>
        <w:t xml:space="preserve">Otros paradigmas conductuales: </w:t>
      </w:r>
      <w:r>
        <w:t xml:space="preserve">el sistema está diseñado exclusivamente para el FST con ratas.</w:t>
      </w:r>
    </w:p>
    <w:p>
      <w:pPr>
        <w:pStyle w:val="Heading2"/>
        <w:spacing w:after="160" w:before="300"/>
      </w:pPr>
      <w:r>
        <w:t xml:space="preserve">1.7 Metodología</w:t>
      </w:r>
    </w:p>
    <w:p>
      <w:pPr>
        <w:spacing w:after="120"/>
      </w:pPr>
      <w:r>
        <w:t xml:space="preserve">El proyecto usa una metodología ágil basada en Scrum, adaptada a un equipo de dos personas con entregas en dos etapas académicas (TT1 y TT2). Cada iteración termina con un entregable revisable con los directores en sesiones quincenales. Las actividades se organizan según los procesos de implementación y verificación de la ISO/IEC/IEEE 12207:2017.</w:t>
      </w:r>
    </w:p>
    <w:p>
      <w:pPr>
        <w:spacing w:after="120"/>
      </w:pPr>
      <w:r>
        <w:t xml:space="preserve">La responsabilidad de cada integrante está delimitada por frente técnico: Ángel Ali es responsable del sistema web e infraestructura (backend, base de datos, frontend, despliegue); Vanesa es responsable del pipeline de IA (preprocesamiento de video, clasificador de conducta, evaluación del desempeño por clase).</w:t>
      </w:r>
    </w:p>
    <w:p>
      <w:pPr>
        <w:spacing w:after="120"/>
      </w:pPr>
      <w:r>
        <w:t xml:space="preserve">Las Tablas 1.2 y 1.3 muestran el cronograma mes a mes de cada integrante. La columna TT1 abarca febrero–junio (documentación, análisis y diseño); la columna TT2 abarca julio–enero (implementación, integración, pruebas y defensa).</w:t>
      </w:r>
    </w:p>
    <w:p>
      <w:pPr>
        <w:spacing w:after="120"/>
      </w:pPr>
      <w:r>
        <w:t xml:space="preserve">El stack técnico cubre los dos frentes del proyecto: Python con Flask, OpenCV, PyTorch (YOLOv8, ResNet-18) y PostgreSQL para el pipeline y el backend; React.js para el frontend; BORIS para anotar el dataset de conductas; Git con Docker para control de versiones y despliegue.</w:t>
      </w:r>
    </w:p>
    <w:p>
      <w:pPr>
        <w:sectPr>
          <w:pgSz w:w="12240" w:h="15840" w:orient="portrait"/>
          <w:pgMar w:top="1440" w:right="1440" w:bottom="1440" w:left="1440" w:header="708" w:footer="708" w:gutter="0"/>
          <w:pgNumType/>
          <w:docGrid w:linePitch="360"/>
        </w:sectPr>
      </w:pPr>
    </w:p>
    <w:p>
      <w:pPr>
        <w:spacing w:after="120"/>
      </w:pPr>
      <w:r>
        <w:rPr>
          <w:b/>
          <w:bCs/>
        </w:rPr>
        <w:t xml:space="preserve">Tabla 1.2. Cronograma de actividades — Frausto Robles Ángel Ali.</w:t>
      </w:r>
    </w:p>
    <w:tbl>
      <w:tblPr>
        <w:tblW w:type="dxa" w:w="12940"/>
        <w:tblBorders>
          <w:top w:val="single" w:color="auto" w:sz="4"/>
          <w:left w:val="single" w:color="auto" w:sz="4"/>
          <w:bottom w:val="single" w:color="auto" w:sz="4"/>
          <w:right w:val="single" w:color="auto" w:sz="4"/>
          <w:insideH w:val="single" w:color="auto" w:sz="4"/>
          <w:insideV w:val="single" w:color="auto" w:sz="4"/>
        </w:tblBorders>
      </w:tblPr>
      <w:tblGrid>
        <w:gridCol w:w="5200"/>
        <w:gridCol w:w="645"/>
        <w:gridCol w:w="645"/>
        <w:gridCol w:w="645"/>
        <w:gridCol w:w="645"/>
        <w:gridCol w:w="645"/>
        <w:gridCol w:w="645"/>
        <w:gridCol w:w="645"/>
        <w:gridCol w:w="645"/>
        <w:gridCol w:w="645"/>
        <w:gridCol w:w="645"/>
        <w:gridCol w:w="645"/>
        <w:gridCol w:w="645"/>
      </w:tblGrid>
      <w:tr>
        <w:tc>
          <w:tcPr>
            <w:tcW w:type="dxa" w:w="52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Actividad</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Feb</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Mar</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Abr</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May</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Jun</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Jul</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Ago</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Sep</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Oct</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Nov</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Dic</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Ene</w:t>
            </w:r>
          </w:p>
        </w:tc>
      </w:tr>
      <w:tr>
        <w:tc>
          <w:tcPr>
            <w:tcW w:type="dxa" w:w="12940"/>
            <w:gridSpan w:val="13"/>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40"/>
            </w:pPr>
            <w:r>
              <w:rPr>
                <w:b/>
                <w:bCs/>
              </w:rPr>
              <w:t xml:space="preserve">TT1 — Documentación, análisis y diseño (febrero–junio)</w:t>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Caps. 1–2: introducción, planteamiento y estado del arte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Cap. 4 Análisis: RF, RNF, casos de uso y criterios de aceptación</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Cap. 5 Diseño: arquitectura, BD, API REST, UML y wireframes</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Revisiones mensuales con directores e investigador del laboratorio</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12940"/>
            <w:gridSpan w:val="13"/>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40"/>
            </w:pPr>
            <w:r>
              <w:rPr>
                <w:b/>
                <w:bCs/>
              </w:rPr>
              <w:t xml:space="preserve">TT2 — Implementación, pruebas y despliegue (julio–enero)</w:t>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Entorno Flask/PostgreSQL/Docker, esquema BD y API REST</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Autenticación y control de acceso (JWT, roles)</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Vistas React.js: carga de video, dashboard y seguimiento de progreso</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Integración frontend–backend y módulo de gestión de sesiones</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Visualización de resultados y generación de reportes PDF</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Integración IA con backend + pruebas unitarias y de sistema</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Corrección de defectos y ajustes de rendimiento</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Docker Compose, manuales, despliegue ESCOM y material de defensa</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r>
    </w:tbl>
    <w:p>
      <w:pPr>
        <w:spacing w:after="60"/>
      </w:pPr>
      <w:r>
        <w:t xml:space="preserve"/>
      </w:r>
    </w:p>
    <w:p>
      <w:pPr>
        <w:spacing w:after="60"/>
      </w:pPr>
      <w:r>
        <w:t xml:space="preserve"/>
      </w:r>
    </w:p>
    <w:p>
      <w:pPr>
        <w:spacing w:after="60"/>
      </w:pPr>
      <w:r>
        <w:t xml:space="preserve"/>
      </w:r>
    </w:p>
    <w:p>
      <w:pPr>
        <w:spacing w:after="120"/>
      </w:pPr>
      <w:r>
        <w:rPr>
          <w:b/>
          <w:bCs/>
        </w:rPr>
        <w:t xml:space="preserve">Tabla 1.3. Cronograma de actividades — Rodríguez Verdín Sandoval Vanesa.</w:t>
      </w:r>
    </w:p>
    <w:tbl>
      <w:tblPr>
        <w:tblW w:type="dxa" w:w="12940"/>
        <w:tblBorders>
          <w:top w:val="single" w:color="auto" w:sz="4"/>
          <w:left w:val="single" w:color="auto" w:sz="4"/>
          <w:bottom w:val="single" w:color="auto" w:sz="4"/>
          <w:right w:val="single" w:color="auto" w:sz="4"/>
          <w:insideH w:val="single" w:color="auto" w:sz="4"/>
          <w:insideV w:val="single" w:color="auto" w:sz="4"/>
        </w:tblBorders>
      </w:tblPr>
      <w:tblGrid>
        <w:gridCol w:w="5200"/>
        <w:gridCol w:w="645"/>
        <w:gridCol w:w="645"/>
        <w:gridCol w:w="645"/>
        <w:gridCol w:w="645"/>
        <w:gridCol w:w="645"/>
        <w:gridCol w:w="645"/>
        <w:gridCol w:w="645"/>
        <w:gridCol w:w="645"/>
        <w:gridCol w:w="645"/>
        <w:gridCol w:w="645"/>
        <w:gridCol w:w="645"/>
        <w:gridCol w:w="645"/>
      </w:tblGrid>
      <w:tr>
        <w:tc>
          <w:tcPr>
            <w:tcW w:type="dxa" w:w="52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Actividad</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Feb</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Mar</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Abr</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May</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Jun</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Jul</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Ago</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Sep</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Oct</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Nov</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Dic</w:t>
            </w:r>
          </w:p>
        </w:tc>
        <w:tc>
          <w:tcPr>
            <w:tcW w:type="dxa" w:w="645"/>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Ene</w:t>
            </w:r>
          </w:p>
        </w:tc>
      </w:tr>
      <w:tr>
        <w:tc>
          <w:tcPr>
            <w:tcW w:type="dxa" w:w="12940"/>
            <w:gridSpan w:val="13"/>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40"/>
            </w:pPr>
            <w:r>
              <w:rPr>
                <w:b/>
                <w:bCs/>
              </w:rPr>
              <w:t xml:space="preserve">TT1 — Documentación, análisis y diseño (febrero–junio)</w:t>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Caps. 1–2: antecedentes FST, técnicas de visión y modelos ML/DL</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Cap. 4 Análisis: conductas, métricas y protocolo de anotación</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Cap. 5 Diseño del pipeline de IA: preprocesamiento y clasificador</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Revisiones mensuales con directores e investigador del laboratorio</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12940"/>
            <w:gridSpan w:val="13"/>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40"/>
            </w:pPr>
            <w:r>
              <w:rPr>
                <w:b/>
                <w:bCs/>
              </w:rPr>
              <w:t xml:space="preserve">TT2 — Implementación, pruebas y validación (julio–enero)</w:t>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Baseline: sustracción de fondo, flujo óptico y curación de videos</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Anotación de conductas con BORIS y extracción de descriptores</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Entrenamiento del clasificador ResNet-18 (nado/inmovilidad/escape)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Ajuste de hiperparámetros y evaluación del clasificador</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Generación de métricas por individuo y por sesión</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Pruebas con distintas condiciones + oclusiones y reflejos</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Reporte de métricas de clasificación por clase (F1, precisión y recall)</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r>
      <w:tr>
        <w:tc>
          <w:tcPr>
            <w:tcW w:type="dxa" w:w="5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Redacción de caps. resultados, manuales y material de defensa</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64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r>
    </w:tbl>
    <w:p>
      <w:pPr>
        <w:spacing w:after="60"/>
      </w:pPr>
      <w:r>
        <w:t xml:space="preserve"/>
      </w:r>
    </w:p>
    <w:p>
      <w:pPr>
        <w:sectPr>
          <w:type w:val="nextPage"/>
          <w:pgSz w:w="15840" w:h="12240" w:orient="landscape"/>
          <w:pgMar w:top="1440" w:right="1440" w:bottom="1440" w:left="1440" w:header="708" w:footer="708" w:gutter="0"/>
          <w:pgNumType/>
          <w:docGrid w:linePitch="360"/>
        </w:sectPr>
      </w:pPr>
    </w:p>
    <w:p>
      <w:pPr>
        <w:pStyle w:val="Heading1"/>
        <w:spacing w:after="200" w:before="400"/>
      </w:pPr>
      <w:r>
        <w:t xml:space="preserve">Capítulo 2. Estado del arte (secciones seleccionadas)</w:t>
      </w:r>
    </w:p>
    <w:p>
      <w:pPr>
        <w:pStyle w:val="Heading2"/>
        <w:spacing w:after="160" w:before="300"/>
      </w:pPr>
      <w:r>
        <w:t xml:space="preserve">2.1 Limitaciones comunes y contexto del proyecto</w:t>
      </w:r>
    </w:p>
    <w:p>
      <w:pPr>
        <w:spacing w:after="120"/>
      </w:pPr>
      <w:r>
        <w:t xml:space="preserve">Todos los trabajos revisados se validaron bajo condiciones controladas: iluminación uniforme, fondo contrastante, sin reflejos problemáticos. Las herramientas basadas en umbralización (DBscorer, ezTrack) son especialmente sensibles a eso. Los métodos de aprendizaje profundo son más robustos en principio, pero dependen de que el conjunto de entrenamiento represente las condiciones reales de uso.</w:t>
      </w:r>
    </w:p>
    <w:p>
      <w:pPr>
        <w:spacing w:after="120"/>
      </w:pPr>
      <w:r>
        <w:t xml:space="preserve">Los videos del laboratorio colaborador tienen características que complican las cosas: grabación con cámara de celular, variaciones de iluminación entre sesiones, y ratas de pelaje claro con poco contraste frente al cilindro. El sistema no garantiza robustez ante todas esas condiciones desde el inicio; evaluar qué tan bien funciona con los videos disponibles es parte del trabajo de desarrollo. La hipótesis es que los videos son suficientemente buenos para que el sistema funcione, pero eso se confirma o se ajusta durante las pruebas.</w:t>
      </w:r>
    </w:p>
    <w:p>
      <w:pPr>
        <w:spacing w:after="60"/>
      </w:pPr>
      <w:r>
        <w:t xml:space="preserve"/>
      </w:r>
    </w:p>
    <w:p>
      <w:pPr>
        <w:pStyle w:val="Heading2"/>
        <w:spacing w:after="160" w:before="300"/>
      </w:pPr>
      <w:r>
        <w:t xml:space="preserve">2.5 Técnicas de visión por computadora para seguimiento de roedores</w:t>
      </w:r>
    </w:p>
    <w:p>
      <w:pPr>
        <w:pStyle w:val="Heading3"/>
        <w:spacing w:after="120" w:before="200"/>
      </w:pPr>
      <w:r>
        <w:t xml:space="preserve">2.5.1 Sustracción de fondo</w:t>
      </w:r>
    </w:p>
    <w:p>
      <w:pPr>
        <w:spacing w:after="120"/>
      </w:pPr>
      <w:r>
        <w:t xml:space="preserve">La sustracción de fondo es la técnica más básica para detectar objetos en movimiento en un video con cámara fija. El principio es simple: se estima una imagen de referencia del fondo (el cilindro vacío) y en cada cuadro se calcula la diferencia con esa referencia. Los píxeles con diferencia mayor a un umbral se clasifican como primer plano (la rata).</w:t>
      </w:r>
    </w:p>
    <w:p>
      <w:pPr>
        <w:spacing w:after="120"/>
      </w:pPr>
      <w:r>
        <w:t xml:space="preserve">El modelo de mezcla gaussiana (</w:t>
      </w:r>
      <w:r>
        <w:rPr>
          <w:i/>
          <w:iCs/>
        </w:rPr>
        <w:t xml:space="preserve">Gaussian Mixture Model</w:t>
      </w:r>
      <w:r>
        <w:t xml:space="preserve">, GMM) es la versión adaptativa más usada: mantiene un modelo estadístico del fondo que se actualiza con cada cuadro, lo que le permite adaptarse a cambios lentos de iluminación. Para el caso de cámara fija que tiene el laboratorio, una alternativa más simple y predecible es calcular la mediana píxel a píxel de los primeros N cuadros. Usar la mediana en vez del promedio evita que una rata inmóvil al inicio del video contamine el modelo de fondo.</w:t>
      </w:r>
    </w:p>
    <w:p>
      <w:pPr>
        <w:pStyle w:val="Heading3"/>
        <w:spacing w:after="120" w:before="200"/>
      </w:pPr>
      <w:r>
        <w:t xml:space="preserve">2.5.2 YOLO (You Only Look Once)</w:t>
      </w:r>
    </w:p>
    <w:p>
      <w:pPr>
        <w:spacing w:after="120"/>
      </w:pPr>
      <w:r>
        <w:t xml:space="preserve">YOLO es un detector de objetos que aplica una sola red neuronal convolucional directamente sobre la imagen completa, produciendo en un solo paso las cajas delimitadoras (</w:t>
      </w:r>
      <w:r>
        <w:rPr>
          <w:i/>
          <w:iCs/>
        </w:rPr>
        <w:t xml:space="preserve">bounding boxes</w:t>
      </w:r>
      <w:r>
        <w:t xml:space="preserve">) y las probabilidades de clase de todos los objetos detectados. A diferencia de detectores en dos etapas como Faster R-CNN, que primero propone regiones candidatas y luego las clasifica, YOLO trata la detección como un problema de regresión unificado sobre una cuadrícula.</w:t>
      </w:r>
    </w:p>
    <w:p>
      <w:pPr>
        <w:spacing w:after="120"/>
      </w:pPr>
      <w:r>
        <w:t xml:space="preserve">La versión YOLOv8 (Ultralytics, 2023) reduce el tiempo de inferencia a 13.5 ms por cuadro en hardware de gama media y supera en precisión a EfficientDet y RetinaNet en benchmarks estándar. Para datasets pequeños, estudios encontraron que con 100 a 350 imágenes etiquetadas se logra detección casi perfecta en fondos consistentes, lo cual es relevante dado el tamaño de dataset disponible en este proyecto.</w:t>
      </w:r>
    </w:p>
    <w:p>
      <w:pPr>
        <w:spacing w:after="120"/>
      </w:pPr>
      <w:r>
        <w:t xml:space="preserve">La separación entre detección y clasificación tiene una ventaja práctica concreta: el clasificador trabaja sobre un recorte limpio de la rata, sin el fondo ni los otros cilindros como fuente de error.</w:t>
      </w:r>
    </w:p>
    <w:p>
      <w:pPr>
        <w:pStyle w:val="Heading3"/>
        <w:spacing w:after="120" w:before="200"/>
      </w:pPr>
      <w:r>
        <w:t xml:space="preserve">2.5.3 DeepLabCut</w:t>
      </w:r>
    </w:p>
    <w:p>
      <w:pPr>
        <w:spacing w:after="120"/>
      </w:pPr>
      <w:r>
        <w:t xml:space="preserve">Sturman et al. mostraron que un clasificador entrenado sobre la representación esquelética producida por DeepLabCut puede eliminar la variabilidad entre evaluadores humanos en el FST. El resultado fue sólido, pero el enfoque requiere marcar manualmente los puntos clave del cuerpo en decenas de cuadros antes de empezar —nariz, patas, cola— lo que implica un trabajo de anotación previo considerable. La pregunta que queda abierta es si esa inversión inicial se justifica frente a enfoques que operan directamente sobre el recorte de la rata, sin necesidad de estimar la pose.</w:t>
      </w:r>
    </w:p>
    <w:p>
      <w:pPr>
        <w:pStyle w:val="Heading3"/>
        <w:spacing w:after="120" w:before="200"/>
      </w:pPr>
      <w:r>
        <w:t xml:space="preserve">2.5.4 Tracker de correlación: CSRT</w:t>
      </w:r>
    </w:p>
    <w:p>
      <w:pPr>
        <w:spacing w:after="120"/>
      </w:pPr>
      <w:r>
        <w:t xml:space="preserve">Los trackers de correlación aprenden a reconocer cómo se ve el objeto que siguen y en cada cuadro buscan la región más parecida. Son distintos a los detectores: no necesitan saber qué es el objeto, solo cómo se veía en el cuadro anterior. CSRT (</w:t>
      </w:r>
      <w:r>
        <w:rPr>
          <w:i/>
          <w:iCs/>
        </w:rPr>
        <w:t xml:space="preserve">Discriminative Correlation Filter with Channel and Spatial Reliability</w:t>
      </w:r>
      <w:r>
        <w:t xml:space="preserve">) mantiene un mapa de confiabilidad espacial que pondera las regiones más discriminativas del objeto, lo que lo hace más robusto ante oclusión parcial.</w:t>
      </w:r>
    </w:p>
    <w:p>
      <w:pPr>
        <w:spacing w:after="120"/>
      </w:pPr>
      <w:r>
        <w:t xml:space="preserve">En el sistema propuesto, el tracker CSRT opera como respaldo clásico cuando ByteTrack no está disponible: si YOLO no detecta a la rata en un cuadro, CSRT mantiene la estimación de posición hasta que el detector vuelve a encontrarla.</w:t>
      </w:r>
    </w:p>
    <w:p>
      <w:pPr>
        <w:pStyle w:val="Heading3"/>
        <w:spacing w:after="120" w:before="200"/>
      </w:pPr>
      <w:r>
        <w:t xml:space="preserve">2.5.5 ByteTrack: asociación por detección completa</w:t>
      </w:r>
    </w:p>
    <w:p>
      <w:pPr>
        <w:spacing w:after="120"/>
      </w:pPr>
      <w:r>
        <w:t xml:space="preserve">ByteTrack es un algoritmo de seguimiento multi-objeto (</w:t>
      </w:r>
      <w:r>
        <w:rPr>
          <w:i/>
          <w:iCs/>
        </w:rPr>
        <w:t xml:space="preserve">multi-object tracking</w:t>
      </w:r>
      <w:r>
        <w:t xml:space="preserve">, MOT) propuesto por Zhang et al. en ECCV 2022. Su contribución principal es asociar </w:t>
      </w:r>
      <w:r>
        <w:rPr>
          <w:i/>
          <w:iCs/>
        </w:rPr>
        <w:t xml:space="preserve">todas</w:t>
      </w:r>
      <w:r>
        <w:t xml:space="preserve"> las cajas producidas por el detector —incluyendo las de baja confianza— en lugar de descartarlas.</w:t>
      </w:r>
    </w:p>
    <w:p>
      <w:pPr>
        <w:spacing w:after="120"/>
      </w:pPr>
      <w:r>
        <w:t xml:space="preserve">El algoritmo opera en dos pasos por cuadro. En el primero asocia las detecciones de alta confianza con las trayectorias activas mediante la métrica IoU y el filtro de Kalman para predecir la posición esperada de cada trayectoria. En el segundo paso intenta recuperar trayectorias sin coincidencia usando las detecciones de baja confianza, que de otro modo serían descartadas.</w:t>
      </w:r>
    </w:p>
    <w:p>
      <w:pPr>
        <w:spacing w:after="120"/>
      </w:pPr>
      <w:r>
        <w:t xml:space="preserve">Frente a SORT —que descarta las detecciones de baja confianza— ByteTrack mantiene mejor continuidad en situaciones de oclusión parcial. Frente a DeepSORT —que añade un descriptor de apariencia por red neuronal para reidentificación— ByteTrack logra resultados comparables sin requerir un modelo de </w:t>
      </w:r>
      <w:r>
        <w:rPr>
          <w:i/>
          <w:iCs/>
        </w:rPr>
        <w:t xml:space="preserve">embedding</w:t>
      </w:r>
      <w:r>
        <w:t xml:space="preserve"> adicional, lo que reduce la latencia.</w:t>
      </w:r>
    </w:p>
    <w:p>
      <w:pPr>
        <w:spacing w:after="120"/>
      </w:pPr>
      <w:r>
        <w:t xml:space="preserve">En el FST, con exactamente una rata por cilindro, la ausencia de ambigüedad de identidad hace que la reidentificación de DeepSORT sea innecesaria. ByteTrack cubre el caso de uso con menor complejidad: solo IoU y Kalman.</w:t>
      </w:r>
    </w:p>
    <w:p>
      <w:pPr>
        <w:spacing w:after="60"/>
      </w:pPr>
      <w:r>
        <w:t xml:space="preserve"/>
      </w:r>
    </w:p>
    <w:p>
      <w:pPr>
        <w:pStyle w:val="Heading2"/>
        <w:spacing w:after="160" w:before="300"/>
      </w:pPr>
      <w:r>
        <w:t xml:space="preserve">2.6 Modelos de clasificación supervisada aplicables al FST</w:t>
      </w:r>
    </w:p>
    <w:p>
      <w:pPr>
        <w:spacing w:after="120"/>
      </w:pPr>
      <w:r>
        <w:t xml:space="preserve">Esta sección revisa los enfoques de machine learning y deep learning que son viables para clasificar las tres conductas del FST (nado, inmovilidad, escalamiento) dado el tamaño de dataset disponible y las condiciones de grabación del laboratorio.</w:t>
      </w:r>
    </w:p>
    <w:p>
      <w:pPr>
        <w:pStyle w:val="Heading3"/>
        <w:spacing w:after="120" w:before="200"/>
      </w:pPr>
      <w:r>
        <w:t xml:space="preserve">2.6.1 Clasificadores clásicos sobre descriptores de movimiento</w:t>
      </w:r>
    </w:p>
    <w:p>
      <w:pPr>
        <w:spacing w:after="120"/>
      </w:pPr>
      <w:r>
        <w:t xml:space="preserve">Los métodos clásicos de ML (SVM, Random Forest) toman como entrada descriptores numéricos del movimiento —área del contorno, velocidad del centroide, energía cinética, histogramas de flujo óptico— y producen una etiqueta de conducta. Su ventaja es que requieren pocos datos etiquetados y son interpretables. Su limitación es que los descriptores hay que definirlos a mano, lo que implica conocimiento previo sobre qué características discriminan mejor las conductas.</w:t>
      </w:r>
    </w:p>
    <w:p>
      <w:pPr>
        <w:spacing w:after="120"/>
      </w:pPr>
      <w:r>
        <w:t xml:space="preserve">Para el FST, un descriptor útil es la relación entre el área de movimiento y la posición vertical del centroide: el escalamiento produce movimiento en la mitad superior del cilindro mientras que el nado se distribuye en toda la superficie del agua. Esa diferencia es capturable con descriptores simples.</w:t>
      </w:r>
    </w:p>
    <w:p>
      <w:pPr>
        <w:pStyle w:val="Heading3"/>
        <w:spacing w:after="120" w:before="200"/>
      </w:pPr>
      <w:r>
        <w:t xml:space="preserve">2.6.2 Redes convolucionales con transfer learning</w:t>
      </w:r>
    </w:p>
    <w:p>
      <w:pPr>
        <w:spacing w:after="120"/>
      </w:pPr>
      <w:r>
        <w:t xml:space="preserve">Las CNN son la arquitectura de referencia para clasificación de imágenes. Entrenar una CNN desde cero requiere cientos de miles de imágenes etiquetadas, lo cual no es viable con el dataset disponible. La solución es el </w:t>
      </w:r>
      <w:r>
        <w:rPr>
          <w:i/>
          <w:iCs/>
        </w:rPr>
        <w:t xml:space="preserve">transfer learning</w:t>
      </w:r>
      <w:r>
        <w:t xml:space="preserve">: se toma una red preentrenada en ImageNet (más de un millón de imágenes de 1,000 clases) y se reemplaza solo la última capa de clasificación por una nueva con 3 salidas, una por conducta. Las capas anteriores ya saben detectar bordes, texturas y formas generales, y eso se aprovecha directamente.</w:t>
      </w:r>
    </w:p>
    <w:p>
      <w:pPr>
        <w:spacing w:after="120"/>
      </w:pPr>
      <w:r>
        <w:t xml:space="preserve">ResNet-18 es la arquitectura candidata principal para el clasificador de este proyecto. Tiene 18 capas con conexiones residuales (</w:t>
      </w:r>
      <w:r>
        <w:rPr>
          <w:i/>
          <w:iCs/>
        </w:rPr>
        <w:t xml:space="preserve">skip connections</w:t>
      </w:r>
      <w:r>
        <w:t xml:space="preserve">) que facilitan el entrenamiento en redes profundas al permitir que el gradiente fluya sin desvanecerse. Es ligera (ocupa menos de 50 MB), entrena rápido con datasets pequeños y tiene un buen balance entre precisión y velocidad de inferencia. Si ResNet-18 no alcanza el F1 objetivo en las tres conductas, se prueba ResNet-50 como alternativa más profunda.</w:t>
      </w:r>
    </w:p>
    <w:p>
      <w:pPr>
        <w:pStyle w:val="Heading3"/>
        <w:spacing w:after="120" w:before="200"/>
      </w:pPr>
      <w:r>
        <w:t xml:space="preserve">2.6.3 Redes 3D para información temporal</w:t>
      </w:r>
    </w:p>
    <w:p>
      <w:pPr>
        <w:spacing w:after="120"/>
      </w:pPr>
      <w:r>
        <w:t xml:space="preserve">Las redes residuales 3D extienden las convoluciones al dominio temporal: en lugar de filtrar sobre una imagen 2D, filtran sobre un volumen de T cuadros consecutivos. Eso les permite capturar patrones de movimiento que no son visibles en un solo cuadro, como la dirección del nado o la frecuencia de los movimientos de escalamiento. Della Valle et al. usan este enfoque y logran la clasificación de las tres conductas. El costo es computacional: las redes 3D requieren más memoria y tiempo de inferencia que las 2D, lo que puede ser una limitación en hardware sin GPU.</w:t>
      </w:r>
    </w:p>
    <w:p>
      <w:pPr>
        <w:spacing w:after="120"/>
      </w:pPr>
      <w:r>
        <w:t xml:space="preserve">Para este proyecto, la primera opción es ResNet-18 en 2D sobre el recorte de la rata (más simple, menor costo computacional). Las redes 3D quedan como alternativa si el clasificador 2D no alcanza la precisión necesaria.</w:t>
      </w:r>
    </w:p>
    <w:p>
      <w:pPr>
        <w:spacing w:after="60"/>
      </w:pPr>
      <w:r>
        <w:t xml:space="preserve"/>
      </w:r>
    </w:p>
    <w:p>
      <w:pPr>
        <w:pStyle w:val="Heading2"/>
        <w:spacing w:after="160" w:before="300"/>
      </w:pPr>
      <w:r>
        <w:t xml:space="preserve">2.7 Criterios de calidad para la evaluación del sistema</w:t>
      </w:r>
    </w:p>
    <w:p>
      <w:pPr>
        <w:spacing w:after="120"/>
      </w:pPr>
      <w:r>
        <w:t xml:space="preserve">La norma ISO/IEC 25010:2023 define los modelos de calidad para sistemas y software, y establece atributos medibles que permiten verificar si un sistema cumple sus objetivos. Para este proyecto, los atributos relevantes son:</w:t>
      </w:r>
    </w:p>
    <w:p>
      <w:pPr>
        <w:pStyle w:val="ListParagraph"/>
        <w:numPr>
          <w:ilvl w:val="0"/>
          <w:numId w:val="2"/>
        </w:numPr>
        <w:spacing w:after="80"/>
      </w:pPr>
      <w:r>
        <w:rPr>
          <w:i/>
          <w:iCs/>
        </w:rPr>
        <w:t xml:space="preserve">Functional correctness: </w:t>
      </w:r>
      <w:r>
        <w:t xml:space="preserve">los resultados del sistema deben clasificar correctamente las tres conductas del FST. Se evalúa con métricas de clasificación estándar: precisión, </w:t>
      </w:r>
      <w:r>
        <w:rPr>
          <w:i/>
          <w:iCs/>
        </w:rPr>
        <w:t xml:space="preserve">recall</w:t>
      </w:r>
      <w:r>
        <w:t xml:space="preserve"> y F1 por clase.</w:t>
      </w:r>
    </w:p>
    <w:p>
      <w:pPr>
        <w:pStyle w:val="ListParagraph"/>
        <w:numPr>
          <w:ilvl w:val="0"/>
          <w:numId w:val="2"/>
        </w:numPr>
        <w:spacing w:after="80"/>
      </w:pPr>
      <w:r>
        <w:rPr>
          <w:i/>
          <w:iCs/>
        </w:rPr>
        <w:t xml:space="preserve">Time behaviour: </w:t>
      </w:r>
      <w:r>
        <w:t xml:space="preserve">el tiempo de análisis de un video de 5 minutos debe ser aceptable para el flujo de trabajo del laboratorio. Se mide en minutos de procesamiento por minuto de video y se define el umbral concreto con el laboratorio durante la fase de pruebas y validación.</w:t>
      </w:r>
    </w:p>
    <w:p>
      <w:pPr>
        <w:pStyle w:val="ListParagraph"/>
        <w:numPr>
          <w:ilvl w:val="0"/>
          <w:numId w:val="2"/>
        </w:numPr>
        <w:spacing w:after="80"/>
      </w:pPr>
      <w:r>
        <w:rPr>
          <w:i/>
          <w:iCs/>
        </w:rPr>
        <w:t xml:space="preserve">Usability: </w:t>
      </w:r>
      <w:r>
        <w:t xml:space="preserve">un investigador sin conocimientos de programación debe poder operar el sistema sin ayuda técnica. Se evalúa con una prueba de usabilidad con al menos un usuario real del laboratorio.</w:t>
      </w:r>
    </w:p>
    <w:p>
      <w:pPr>
        <w:spacing w:after="60"/>
      </w:pPr>
      <w:r>
        <w:t xml:space="preserve"/>
      </w:r>
    </w:p>
    <w:p>
      <w:pPr>
        <w:pStyle w:val="Heading2"/>
        <w:spacing w:after="160" w:before="300"/>
      </w:pPr>
      <w:r>
        <w:t xml:space="preserve">2.8 Tabla comparativa</w:t>
      </w:r>
    </w:p>
    <w:p>
      <w:pPr>
        <w:spacing w:after="120"/>
      </w:pPr>
      <w:r>
        <w:t xml:space="preserve">La Tabla 2.1 resume los trabajos y herramientas revisados frente a los criterios más relevantes para el proyecto. La columna Métricas reportadas indica qué tan comparable es cada trabajo con los criterios de calidad de la ISO/IEC 25010:2023 adoptados en este proyecto.</w:t>
      </w:r>
    </w:p>
    <w:p>
      <w:pPr>
        <w:spacing w:after="120"/>
      </w:pPr>
      <w:r>
        <w:rPr>
          <w:b/>
          <w:bCs/>
        </w:rPr>
        <w:t xml:space="preserve">Tabla 2.1. Comparativa de herramientas y trabajos relacionados con el análisis del FST.</w:t>
      </w:r>
    </w:p>
    <w:p>
      <w:pPr>
        <w:sectPr>
          <w:type w:val="nextPage"/>
          <w:pgSz w:w="12240" w:h="15840" w:orient="portrait"/>
          <w:pgMar w:top="1440" w:right="1440" w:bottom="1440" w:left="1440" w:header="708" w:footer="708" w:gutter="0"/>
          <w:pgNumType/>
          <w:docGrid w:linePitch="360"/>
        </w:sectPr>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800"/>
        <w:gridCol w:w="800"/>
        <w:gridCol w:w="900"/>
        <w:gridCol w:w="1200"/>
        <w:gridCol w:w="5560"/>
      </w:tblGrid>
      <w:tr>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Sistema</w:t>
            </w:r>
          </w:p>
        </w:tc>
        <w:tc>
          <w:tcPr>
            <w:tcW w:type="dxa" w:w="10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Espec. FST</w:t>
            </w:r>
          </w:p>
        </w:tc>
        <w:tc>
          <w:tcPr>
            <w:tcW w:type="dxa" w:w="9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3 cond.</w:t>
            </w:r>
          </w:p>
        </w:tc>
        <w:tc>
          <w:tcPr>
            <w:tcW w:type="dxa" w:w="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DL</w:t>
            </w:r>
          </w:p>
        </w:tc>
        <w:tc>
          <w:tcPr>
            <w:tcW w:type="dxa" w:w="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Web</w:t>
            </w:r>
          </w:p>
        </w:tc>
        <w:tc>
          <w:tcPr>
            <w:tcW w:type="dxa" w:w="9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Abierto</w:t>
            </w:r>
          </w:p>
        </w:tc>
        <w:tc>
          <w:tcPr>
            <w:tcW w:type="dxa" w:w="12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Tracker MOT</w:t>
            </w:r>
          </w:p>
        </w:tc>
        <w:tc>
          <w:tcPr>
            <w:tcW w:type="dxa" w:w="55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spacing w:after="60"/>
            </w:pPr>
            <w:r>
              <w:rPr>
                <w:b/>
                <w:bCs/>
              </w:rPr>
              <w:t xml:space="preserve">Métricas reportadas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EthoVision XT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Parc.</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Posición, velocidad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ANY-maze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Parc.</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Posición, velocidad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ezTrack</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Parc.</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 movimiento</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DBscorer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Tiempo inmóvil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DSAAN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Precisión 88.7%</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3D-RCNN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F1 por conducta</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DeepLabCut+clf</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Parc.</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Parc.</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Concordancia con experto</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YOLO-Behaviour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Sí</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No</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b w:val="false"/>
                <w:bCs w:val="false"/>
              </w:rPr>
              <w:t xml:space="preserve">Precisión, recall</w:t>
            </w:r>
          </w:p>
        </w:tc>
      </w:tr>
      <w:tr>
        <w:tc>
          <w:tcPr>
            <w:tcW w:type="dxa" w:w="18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b/>
                <w:bCs/>
              </w:rPr>
              <w:t xml:space="preserve">Propuesta</w:t>
            </w:r>
          </w:p>
        </w:tc>
        <w:tc>
          <w:tcPr>
            <w:tcW w:type="dxa" w:w="1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60"/>
            </w:pPr>
            <w:r>
              <w:rPr>
                <w:b w:val="false"/>
                <w:bCs w:val="false"/>
              </w:rPr>
              <w:t xml:space="preserve">Sí</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60"/>
            </w:pPr>
            <w:r>
              <w:rPr>
                <w:b w:val="false"/>
                <w:bCs w:val="false"/>
              </w:rPr>
              <w:t xml:space="preserve">Sí</w:t>
            </w:r>
          </w:p>
        </w:tc>
        <w:tc>
          <w:tcPr>
            <w:tcW w:type="dxa" w:w="8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60"/>
            </w:pPr>
            <w:r>
              <w:rPr>
                <w:b w:val="false"/>
                <w:bCs w:val="false"/>
              </w:rPr>
              <w:t xml:space="preserve">Sí</w:t>
            </w:r>
          </w:p>
        </w:tc>
        <w:tc>
          <w:tcPr>
            <w:tcW w:type="dxa" w:w="8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60"/>
            </w:pPr>
            <w:r>
              <w:rPr>
                <w:b w:val="false"/>
                <w:bCs w:val="false"/>
              </w:rPr>
              <w:t xml:space="preserve">Sí</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60"/>
            </w:pPr>
            <w:r>
              <w:rPr>
                <w:b w:val="false"/>
                <w:bCs w:val="false"/>
              </w:rPr>
              <w:t xml:space="preserve">Sí</w:t>
            </w:r>
          </w:p>
        </w:tc>
        <w:tc>
          <w:tcPr>
            <w:tcW w:type="dxa" w:w="12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60"/>
            </w:pPr>
            <w:r>
              <w:rPr>
                <w:b w:val="false"/>
                <w:bCs w:val="false"/>
              </w:rPr>
              <w:t xml:space="preserve">ByteTrack</w:t>
            </w:r>
          </w:p>
        </w:tc>
        <w:tc>
          <w:tcPr>
            <w:tcW w:type="dxa" w:w="55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60"/>
            </w:pPr>
            <w:r>
              <w:rPr>
                <w:b w:val="false"/>
                <w:bCs w:val="false"/>
              </w:rPr>
              <w:t xml:space="preserve">F1 por conducta, tiempo de análisis</w:t>
            </w:r>
          </w:p>
        </w:tc>
      </w:tr>
    </w:tbl>
    <w:p>
      <w:pPr>
        <w:spacing w:after="60"/>
      </w:pPr>
      <w:r>
        <w:t xml:space="preserve"/>
      </w:r>
    </w:p>
    <w:p>
      <w:pPr>
        <w:sectPr>
          <w:type w:val="nextPage"/>
          <w:pgSz w:w="15840" w:h="12240" w:orient="landscape"/>
          <w:pgMar w:top="1440" w:right="1440" w:bottom="1440" w:left="1440" w:header="708" w:footer="708" w:gutter="0"/>
          <w:pgNumType/>
          <w:docGrid w:linePitch="360"/>
        </w:sectPr>
      </w:pPr>
    </w:p>
    <w:p>
      <w:pPr>
        <w:pStyle w:val="Heading1"/>
        <w:spacing w:after="200" w:before="400"/>
      </w:pPr>
      <w:r>
        <w:t xml:space="preserve">Capítulo 3. Marco teórico (sección 3.1)</w:t>
      </w:r>
    </w:p>
    <w:p>
      <w:pPr>
        <w:pStyle w:val="Heading2"/>
        <w:spacing w:after="160" w:before="300"/>
      </w:pPr>
      <w:r>
        <w:t xml:space="preserve">3.1 El modelo de nado forzado como paradigma preclínico</w:t>
      </w:r>
    </w:p>
    <w:p>
      <w:pPr>
        <w:pStyle w:val="Heading3"/>
        <w:spacing w:after="120" w:before="200"/>
      </w:pPr>
      <w:r>
        <w:t xml:space="preserve">3.1.1 Depresión y modelos preclínicos</w:t>
      </w:r>
    </w:p>
    <w:p>
      <w:pPr>
        <w:spacing w:after="120"/>
      </w:pPr>
      <w:r>
        <w:t xml:space="preserve">La depresión mayor afecta a más de 280 millones de personas y es una de las principales causas de discapacidad a nivel mundial. Para probar nuevos tratamientos antes de llegar a ensayos clínicos en humanos, los investigadores usan modelos preclínicos con roedores que reproducen algunos aspectos del trastorno.</w:t>
      </w:r>
    </w:p>
    <w:p>
      <w:pPr>
        <w:spacing w:after="120"/>
      </w:pPr>
      <w:r>
        <w:t xml:space="preserve">Para que un modelo preclínico sea válido debe cumplir tres criterios: </w:t>
      </w:r>
      <w:r>
        <w:rPr>
          <w:i/>
          <w:iCs/>
        </w:rPr>
        <w:t xml:space="preserve">validez de constructo</w:t>
      </w:r>
      <w:r>
        <w:t xml:space="preserve"> (los mecanismos biológicos involucrados deben parecerse a los del trastorno humano), </w:t>
      </w:r>
      <w:r>
        <w:rPr>
          <w:i/>
          <w:iCs/>
        </w:rPr>
        <w:t xml:space="preserve">validez de cara</w:t>
      </w:r>
      <w:r>
        <w:t xml:space="preserve"> (los síntomas observables deben ser similares a los clínicos) y </w:t>
      </w:r>
      <w:r>
        <w:rPr>
          <w:i/>
          <w:iCs/>
        </w:rPr>
        <w:t xml:space="preserve">validez predictiva</w:t>
      </w:r>
      <w:r>
        <w:t xml:space="preserve"> (el modelo debe responder a los fármacos que funcionan en pacientes). El FST cumple principalmente la validez predictiva: prácticamente todos los antidepresivos clínicamente aprobados reducen la inmovilidad en este test.</w:t>
      </w:r>
    </w:p>
    <w:p>
      <w:pPr>
        <w:pStyle w:val="Heading3"/>
        <w:spacing w:after="120" w:before="200"/>
      </w:pPr>
      <w:r>
        <w:t xml:space="preserve">3.1.2 La prueba de nado forzado (FST)</w:t>
      </w:r>
    </w:p>
    <w:p>
      <w:pPr>
        <w:spacing w:after="120"/>
      </w:pPr>
      <w:r>
        <w:t xml:space="preserve">La prueba de nado forzado fue propuesta por Porsolt et al. en 1977. Consiste en poner a la rata en un cilindro con agua del que no puede salir y registrar cómo responde. Al principio intenta escapar; después de un rato empieza a flotar con movimientos mínimos. Esa conducta pasiva —</w:t>
      </w:r>
      <w:r>
        <w:rPr>
          <w:i/>
          <w:iCs/>
        </w:rPr>
        <w:t xml:space="preserve">behavioral despair</w:t>
      </w:r>
      <w:r>
        <w:t xml:space="preserve"> o desesperanza conductual— se asocia con la pérdida de motivación propia de la depresión.</w:t>
      </w:r>
    </w:p>
    <w:p>
      <w:pPr>
        <w:pStyle w:val="Heading3"/>
        <w:spacing w:after="120" w:before="200"/>
      </w:pPr>
      <w:r>
        <w:t xml:space="preserve">3.1.3 Conductas que se observan y cómo se interpretan</w:t>
      </w:r>
    </w:p>
    <w:p>
      <w:pPr>
        <w:spacing w:after="120"/>
      </w:pPr>
      <w:r>
        <w:t xml:space="preserve">En el FST se distinguen tres conductas mutuamente excluyentes:</w:t>
      </w:r>
    </w:p>
    <w:p>
      <w:pPr>
        <w:pStyle w:val="ListParagraph"/>
        <w:numPr>
          <w:ilvl w:val="0"/>
          <w:numId w:val="2"/>
        </w:numPr>
        <w:spacing w:after="80"/>
      </w:pPr>
      <w:r>
        <w:rPr>
          <w:b/>
          <w:bCs/>
        </w:rPr>
        <w:t xml:space="preserve">Inmovilidad: </w:t>
      </w:r>
      <w:r>
        <w:t xml:space="preserve">el espécimen flota haciendo solo lo necesario para no hundirse. Es el indicador principal de desesperanza conductual y el parámetro que más se reporta en la literatura.</w:t>
      </w:r>
    </w:p>
    <w:p>
      <w:pPr>
        <w:pStyle w:val="ListParagraph"/>
        <w:numPr>
          <w:ilvl w:val="0"/>
          <w:numId w:val="2"/>
        </w:numPr>
        <w:spacing w:after="80"/>
      </w:pPr>
      <w:r>
        <w:rPr>
          <w:b/>
          <w:bCs/>
        </w:rPr>
        <w:t xml:space="preserve">Nado activo: </w:t>
      </w:r>
      <w:r>
        <w:t xml:space="preserve">movimientos de paladas que desplazan a la rata horizontalmente. Se asocia al sistema serotoninérgico; antidepresivos como la fluoxetina (antidepresivo de referencia) aumentan esta conducta específicamente.</w:t>
      </w:r>
    </w:p>
    <w:p>
      <w:pPr>
        <w:pStyle w:val="ListParagraph"/>
        <w:numPr>
          <w:ilvl w:val="0"/>
          <w:numId w:val="2"/>
        </w:numPr>
        <w:spacing w:after="80"/>
      </w:pPr>
      <w:r>
        <w:rPr>
          <w:b/>
          <w:bCs/>
        </w:rPr>
        <w:t xml:space="preserve">Escalamiento: </w:t>
      </w:r>
      <w:r>
        <w:t xml:space="preserve">movimientos rápidos hacia las paredes del cilindro, con las patas delanteras tocando o rompiendo la superficie del agua. Se asocia al sistema noradrenérgico; la desipramina lo incrementa. Desde la vista cenital, el escalamiento produce movimiento concentrado en el borde del cilindro, lo que lo distingue visualmente del nado.</w:t>
      </w:r>
    </w:p>
    <w:p>
      <w:pPr>
        <w:spacing w:after="120"/>
      </w:pPr>
      <w:r>
        <w:t xml:space="preserve">Distinguir las tres conductas importa porque cada una refleja la activación de un sistema neurotransmisor distinto, lo que permite inferir el mecanismo de acción del fármaco evaluado. Un sistema que solo detecta si la rata se mueve o no pierde esa información.</w:t>
      </w:r>
    </w:p>
    <w:p>
      <w:pPr>
        <w:pStyle w:val="Heading3"/>
        <w:spacing w:after="120" w:before="200"/>
      </w:pPr>
      <w:r>
        <w:t xml:space="preserve">3.1.4 Protocolo del laboratorio colaborador</w:t>
      </w:r>
    </w:p>
    <w:p>
      <w:pPr>
        <w:spacing w:after="120"/>
      </w:pPr>
      <w:r>
        <w:t xml:space="preserve">En el laboratorio de la ENMyH las ratas se colocan individualmente en cilindros transparentes con agua. Hay dos sesiones: 20 minutos el día 1 (línea base) y 5 minutos el día 2 (después del tratamiento), con 24 horas de diferencia. Los videos se graban desde una vista lateral con cámara de celular, capturando los cuatro cilindros al mismo tiempo. La iluminación y el nivel del agua varían entre experimentos, y con ratas de pelaje claro el contraste contra el cilindro puede ser bajo. El sistema debe funcionar bajo esas condiciones; los requisitos mínimos de calidad de video se definirán durante las pruebas de validación.</w:t>
      </w:r>
    </w:p>
    <w:p>
      <w:pPr>
        <w:sectPr>
          <w:type w:val="nextPage"/>
          <w:pgSz w:w="12240" w:h="15840" w:orient="portrait"/>
          <w:pgMar w:top="1440" w:right="1440" w:bottom="1440" w:left="1440" w:header="708" w:footer="708" w:gutter="0"/>
          <w:pgNumType/>
          <w:docGrid w:linePitch="360"/>
        </w:sectPr>
      </w:pPr>
    </w:p>
    <w:p>
      <w:pPr>
        <w:spacing w:after="200"/>
        <w:jc w:val="center"/>
      </w:pPr>
      <w:r>
        <w:rPr>
          <w:b/>
          <w:bCs/>
        </w:rPr>
        <w:t xml:space="preserve">Diagrama Entidad–Relación</w:t>
      </w:r>
    </w:p>
    <w:p>
      <w:pPr>
        <w:spacing w:after="300"/>
        <w:jc w:val="center"/>
      </w:pPr>
      <w:r>
        <w:t xml:space="preserve">El siguiente diagrama muestra el modelo de datos del sistema. Escala expandida para impresión en dos hojas.</w:t>
      </w:r>
    </w:p>
    <w:p>
      <w:pPr>
        <w:spacing w:after="0"/>
        <w:jc w:val="left"/>
      </w:pPr>
      <w:r>
        <w:drawing>
          <wp:inline distT="0" distB="0" distL="0" distR="0">
            <wp:extent cx="137160000" cy="176488725"/>
            <wp:effectExtent t="0" r="0" b="0" l="0"/>
            <wp:docPr id="1" name="er_diagram" descr="Diagrama entidad-relación del sistema FST" title="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00" cy="176488725"/>
                    </a:xfrm>
                    <a:prstGeom prst="rect">
                      <a:avLst/>
                    </a:prstGeom>
                  </pic:spPr>
                </pic:pic>
              </a:graphicData>
            </a:graphic>
          </wp:inline>
        </w:drawing>
      </w:r>
    </w:p>
    <w:sectPr>
      <w:type w:val="nextPage"/>
      <w:pgSz w:w="15840" w:h="12240" w:orient="landscape"/>
      <w:pgMar w:top="144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a814937d0190c0d968c0a298ebed74e316fcd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2026-05-07T14:39:32.212Z</dcterms:created>
  <dcterms:modified xsi:type="dcterms:W3CDTF">2026-05-07T14:39:32.213Z</dcterms:modified>
</cp:coreProperties>
</file>

<file path=docProps/custom.xml><?xml version="1.0" encoding="utf-8"?>
<Properties xmlns="http://schemas.openxmlformats.org/officeDocument/2006/custom-properties" xmlns:vt="http://schemas.openxmlformats.org/officeDocument/2006/docPropsVTypes"/>
</file>