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F3864"/>
          <w:sz w:val="34"/>
        </w:rPr>
        <w:t>Guión de Defensa — TT 2026-B066</w:t>
      </w:r>
    </w:p>
    <w:p>
      <w:pPr>
        <w:spacing w:before="0" w:after="40"/>
        <w:jc w:val="center"/>
      </w:pPr>
      <w:r>
        <w:rPr>
          <w:color w:val="1F3864"/>
          <w:sz w:val="22"/>
        </w:rPr>
        <w:t>Sistema web con visión por computadora y aprendizaje supervisado para el análisis conductual del FST</w:t>
      </w:r>
    </w:p>
    <w:p>
      <w:pPr>
        <w:spacing w:before="0" w:after="40"/>
        <w:jc w:val="center"/>
      </w:pPr>
      <w:r>
        <w:rPr>
          <w:color w:val="1F3864"/>
          <w:sz w:val="22"/>
        </w:rPr>
        <w:t>Frausto Robles Ángel Ali (A)  ·  Rodríguez Verdín Sandoval Vanesa (V)</w:t>
      </w:r>
    </w:p>
    <w:p/>
    <w:p>
      <w:pPr>
        <w:spacing w:before="80" w:after="80"/>
        <w:shd w:val="clear" w:color="auto" w:fill="F2F2F2"/>
        <w:ind w:left="170"/>
      </w:pPr>
      <w:r>
        <w:rPr>
          <w:i/>
          <w:color w:val="595959"/>
          <w:sz w:val="20"/>
        </w:rPr>
        <w:t>CONVENCIONES:  (A) = Ángel habla [texto azul]  ·  (V) = Vanesa habla [texto rojo]  ·  [acción] = acotación escénica en gris itálica  ·  ⏱ = tiempo acumulado</w:t>
      </w:r>
    </w:p>
    <w:p/>
    <w:p>
      <w:pPr>
        <w:spacing w:before="240" w:after="80"/>
        <w:shd w:val="clear" w:color="auto" w:fill="1F3864"/>
      </w:pPr>
      <w:r>
        <w:rPr>
          <w:b/>
          <w:color w:val="FFFFFF"/>
          <w:sz w:val="24"/>
        </w:rPr>
        <w:t xml:space="preserve">  SECCIÓN 1 — PRESENTACIÓN  (20 minutos)</w:t>
      </w:r>
    </w:p>
    <w:p>
      <w:pPr>
        <w:spacing w:before="200" w:after="40"/>
        <w:shd w:val="clear" w:color="auto" w:fill="D6E4F0"/>
      </w:pPr>
      <w:r>
        <w:rPr>
          <w:b/>
          <w:color w:val="1F3864"/>
          <w:sz w:val="22"/>
        </w:rPr>
        <w:t xml:space="preserve">  SLIDE 2 — Agenda</w:t>
      </w:r>
      <w:r>
        <w:rPr>
          <w:b/>
          <w:color w:val="E65100"/>
          <w:sz w:val="22"/>
        </w:rPr>
        <w:t xml:space="preserve">   ⏱ 00:30</w:t>
      </w:r>
    </w:p>
    <w:p>
      <w:pPr>
        <w:spacing w:before="20" w:after="20"/>
        <w:ind w:left="283"/>
      </w:pPr>
      <w:r>
        <w:rPr>
          <w:i/>
          <w:color w:val="595959"/>
          <w:sz w:val="20"/>
        </w:rPr>
        <w:t>[ambos de pie frente al jurado; Ángel abre]</w:t>
      </w:r>
    </w:p>
    <w:p>
      <w:pPr>
        <w:spacing w:before="40" w:after="40"/>
        <w:ind w:left="170"/>
      </w:pPr>
      <w:r>
        <w:rPr>
          <w:b/>
          <w:color w:val="1F497D"/>
          <w:sz w:val="22"/>
        </w:rPr>
        <w:t xml:space="preserve">(A):  </w:t>
      </w:r>
      <w:r>
        <w:rPr>
          <w:color w:val="1F497D"/>
          <w:sz w:val="22"/>
        </w:rPr>
        <w:t>Buenos días. Soy Ángel Frausto, y junto con Vanesa Rodríguez les vamos a presentar el Trabajo Terminal 2026-B066. La presentación está organizada en seis bloques: empezamos con la problemática del laboratorio y la propuesta de solución, después vemos los objetivos y la justificación, el estado del arte y los fundamentos técnicos, la ingeniería de requisitos y el diseño del sistema, y cerramos con las conclusiones de TT-I y el plan de TT-II. Vanesa abre.</w:t>
      </w:r>
    </w:p>
    <w:p>
      <w:pPr>
        <w:spacing w:before="200" w:after="40"/>
        <w:shd w:val="clear" w:color="auto" w:fill="D6E4F0"/>
      </w:pPr>
      <w:r>
        <w:rPr>
          <w:b/>
          <w:color w:val="1F3864"/>
          <w:sz w:val="22"/>
        </w:rPr>
        <w:t xml:space="preserve">  SLIDE 3 — Introducción</w:t>
      </w:r>
      <w:r>
        <w:rPr>
          <w:b/>
          <w:color w:val="E65100"/>
          <w:sz w:val="22"/>
        </w:rPr>
        <w:t xml:space="preserve">   ⏱ 02:30</w:t>
      </w:r>
    </w:p>
    <w:p>
      <w:pPr>
        <w:spacing w:before="20" w:after="20"/>
        <w:ind w:left="283"/>
      </w:pPr>
      <w:r>
        <w:rPr>
          <w:i/>
          <w:color w:val="595959"/>
          <w:sz w:val="20"/>
        </w:rPr>
        <w:t>[Vanesa avanza]</w:t>
      </w:r>
    </w:p>
    <w:p>
      <w:pPr>
        <w:spacing w:before="40" w:after="40"/>
        <w:ind w:left="170"/>
      </w:pPr>
      <w:r>
        <w:rPr>
          <w:b/>
          <w:color w:val="C00000"/>
          <w:sz w:val="22"/>
        </w:rPr>
        <w:t xml:space="preserve">(V):  </w:t>
      </w:r>
      <w:r>
        <w:rPr>
          <w:color w:val="C00000"/>
          <w:sz w:val="22"/>
        </w:rPr>
        <w:t>Imaginemos la escena: un investigador frente a una pantalla con un video de cinco minutos, cronómetro en mano. Cada vez que la rata cambia de conducta —empieza a nadar, se queda quieta, intenta escalar—, detiene el cronómetro y escribe el tiempo a mano. Cuando termina con esa rata, reinicia y repite con la siguiente. Si el protocolo exige que dos evaluadores hagan esto de forma independiente para verificar consistencia, el mismo video se ve dos veces más. Así funciona hoy el análisis en el Laboratorio de Bioquímica Estructural, Sección de Posgrado, de la Escuela Nacional de Medicina y Homeopatía del IPN.</w:t>
      </w:r>
    </w:p>
    <w:p>
      <w:pPr>
        <w:spacing w:before="40" w:after="40"/>
        <w:ind w:left="170"/>
      </w:pPr>
      <w:r>
        <w:rPr>
          <w:color w:val="C00000"/>
          <w:sz w:val="22"/>
        </w:rPr>
        <w:t>Eso existe porque la Prueba de Nado Forzado —el FST, del inglés Forced Swim Test— es el modelo preclínico más citado en neurociencia para evaluar antidepresivos en ratas. La depresión mayor afecta a más de 280 millones de personas y es una de las principales causas de discapacidad según la OMS. Para probar nuevas moléculas antes de llegar a ensayos en humanos, se usan modelos preclínicos con roedores. El FST es el más usado: prácticamente todos los antidepresivos aprobados clínicamente reducen la inmovilidad en este test.</w:t>
      </w:r>
    </w:p>
    <w:p>
      <w:pPr>
        <w:spacing w:before="40" w:after="40"/>
        <w:ind w:left="170"/>
      </w:pPr>
      <w:r>
        <w:rPr>
          <w:color w:val="C00000"/>
          <w:sz w:val="22"/>
        </w:rPr>
        <w:t>El experimento consiste en colocar a la rata en un cilindro con agua del que no puede salir y registrar cómo responde. Primero intenta escapar; después empieza a flotar. Esa conducta pasiva —inmovilidad— se asocia con la desesperanza conductual propia de la depresión. Los antidepresivos reducen ese tiempo de inmovilidad, y eso es lo que se mide.</w:t>
      </w:r>
    </w:p>
    <w:p>
      <w:pPr>
        <w:spacing w:before="200" w:after="40"/>
        <w:shd w:val="clear" w:color="auto" w:fill="D6E4F0"/>
      </w:pPr>
      <w:r>
        <w:rPr>
          <w:b/>
          <w:color w:val="1F3864"/>
          <w:sz w:val="22"/>
        </w:rPr>
        <w:t xml:space="preserve">  SLIDE 4 — Conductas del FST + Videos</w:t>
      </w:r>
      <w:r>
        <w:rPr>
          <w:b/>
          <w:color w:val="E65100"/>
          <w:sz w:val="22"/>
        </w:rPr>
        <w:t xml:space="preserve">   ⏱ 04:00</w:t>
      </w:r>
    </w:p>
    <w:p>
      <w:pPr>
        <w:spacing w:before="20" w:after="20"/>
        <w:ind w:left="283"/>
      </w:pPr>
      <w:r>
        <w:rPr>
          <w:i/>
          <w:color w:val="595959"/>
          <w:sz w:val="20"/>
        </w:rPr>
        <w:t>[Vanesa continúa; señala los tres videos en la pantalla]</w:t>
      </w:r>
    </w:p>
    <w:p>
      <w:pPr>
        <w:spacing w:before="40" w:after="40"/>
        <w:ind w:left="170"/>
      </w:pPr>
      <w:r>
        <w:rPr>
          <w:b/>
          <w:color w:val="C00000"/>
          <w:sz w:val="22"/>
        </w:rPr>
        <w:t xml:space="preserve">(V):  </w:t>
      </w:r>
      <w:r>
        <w:rPr>
          <w:color w:val="C00000"/>
          <w:sz w:val="22"/>
        </w:rPr>
        <w:t>El sistema debe detectar automáticamente tres conductas —y cada una refleja la activación de un sistema neurotransmisor distinto. Aquí los clips del Dr. Sandino, del laboratorio ENMyH-IPN.</w:t>
      </w:r>
    </w:p>
    <w:p>
      <w:pPr>
        <w:spacing w:before="40" w:after="40"/>
        <w:ind w:left="170"/>
      </w:pPr>
      <w:r>
        <w:rPr>
          <w:color w:val="C00000"/>
          <w:sz w:val="22"/>
        </w:rPr>
        <w:t>Inmovilidad: el espécimen flota con movimientos mínimos. Es el indicador central del experimento —el tiempo que pasa en este estado es el parámetro que más se reporta en la literatura.</w:t>
      </w:r>
    </w:p>
    <w:p>
      <w:pPr>
        <w:spacing w:before="40" w:after="40"/>
        <w:ind w:left="170"/>
      </w:pPr>
      <w:r>
        <w:rPr>
          <w:color w:val="C00000"/>
          <w:sz w:val="22"/>
        </w:rPr>
        <w:t>Nado activo: paladas que desplazan al espécimen horizontalmente. Se asocia al sistema serotoninérgico; la fluoxetina, el antidepresivo de referencia, aumenta específicamente esta conducta.</w:t>
      </w:r>
    </w:p>
    <w:p>
      <w:pPr>
        <w:spacing w:before="40" w:after="40"/>
        <w:ind w:left="170"/>
      </w:pPr>
      <w:r>
        <w:rPr>
          <w:color w:val="C00000"/>
          <w:sz w:val="22"/>
        </w:rPr>
        <w:t>Escalamiento: movimientos rápidos de las patas delanteras hacia las paredes del cilindro. Se asocia al sistema noradrenérgico; la desipramina lo incrementa.</w:t>
      </w:r>
    </w:p>
    <w:p>
      <w:pPr>
        <w:spacing w:before="40" w:after="40"/>
        <w:ind w:left="170"/>
      </w:pPr>
      <w:r>
        <w:rPr>
          <w:color w:val="C00000"/>
          <w:sz w:val="22"/>
        </w:rPr>
        <w:t>Distinguir las tres importa: un sistema que solo detecta "se mueve o no se mueve" pierde la información sobre qué sistema neurotransmisor está respondiendo al fármaco.</w:t>
      </w:r>
    </w:p>
    <w:p>
      <w:pPr>
        <w:spacing w:before="200" w:after="40"/>
        <w:shd w:val="clear" w:color="auto" w:fill="D6E4F0"/>
      </w:pPr>
      <w:r>
        <w:rPr>
          <w:b/>
          <w:color w:val="1F3864"/>
          <w:sz w:val="22"/>
        </w:rPr>
        <w:t xml:space="preserve">  SLIDE 5 — Planteamiento del problema</w:t>
      </w:r>
      <w:r>
        <w:rPr>
          <w:b/>
          <w:color w:val="E65100"/>
          <w:sz w:val="22"/>
        </w:rPr>
        <w:t xml:space="preserve">   ⏱ 06:00</w:t>
      </w:r>
    </w:p>
    <w:p>
      <w:pPr>
        <w:spacing w:before="20" w:after="20"/>
        <w:ind w:left="283"/>
      </w:pPr>
      <w:r>
        <w:rPr>
          <w:i/>
          <w:color w:val="595959"/>
          <w:sz w:val="20"/>
        </w:rPr>
        <w:t>[Ángel avanza]</w:t>
      </w:r>
    </w:p>
    <w:p>
      <w:pPr>
        <w:spacing w:before="40" w:after="40"/>
        <w:ind w:left="170"/>
      </w:pPr>
      <w:r>
        <w:rPr>
          <w:b/>
          <w:color w:val="1F497D"/>
          <w:sz w:val="22"/>
        </w:rPr>
        <w:t xml:space="preserve">(A):  </w:t>
      </w:r>
      <w:r>
        <w:rPr>
          <w:color w:val="1F497D"/>
          <w:sz w:val="22"/>
        </w:rPr>
        <w:t>Y aquí está el problema concreto. Anotar el video de cinco minutos de un solo espécimen lleva entre hora y media y dos horas. Si el protocolo requiere doble anotación para verificar consistencia, ese tiempo se duplica. El laboratorio puede acumular entre 32 y 40 videos por semestre —eso son más de 200 horas-persona dedicadas solo a anotación manual.</w:t>
      </w:r>
    </w:p>
    <w:p>
      <w:pPr>
        <w:spacing w:before="40" w:after="40"/>
        <w:ind w:left="170"/>
      </w:pPr>
      <w:r>
        <w:rPr>
          <w:color w:val="1F497D"/>
          <w:sz w:val="22"/>
        </w:rPr>
        <w:t>El segundo problema es la variabilidad entre evaluadores. Las transiciones entre conductas no siempre son nítidas. Cuando dos evaluadores registran tiempos distintos para la misma rata, el investigador decide qué número reportar sin criterio formal. Eso afecta la reproducibilidad y complica comparar resultados con otros grupos de investigación.</w:t>
      </w:r>
    </w:p>
    <w:p>
      <w:pPr>
        <w:spacing w:before="40" w:after="40"/>
        <w:ind w:left="170"/>
      </w:pPr>
      <w:r>
        <w:rPr>
          <w:color w:val="1F497D"/>
          <w:sz w:val="22"/>
        </w:rPr>
        <w:t>El tercer problema: no hay registro centralizado. Los datos quedan dispersos en hojas de cálculo y notas sueltas.</w:t>
      </w:r>
    </w:p>
    <w:p>
      <w:pPr>
        <w:spacing w:before="40" w:after="40"/>
        <w:ind w:left="170"/>
      </w:pPr>
      <w:r>
        <w:rPr>
          <w:color w:val="1F497D"/>
          <w:sz w:val="22"/>
        </w:rPr>
        <w:t>Y el cuarto: un desglose minuto a minuto revelaría la dinámica del efecto farmacológico —pero producirlo a mano es inviable en la práctica.</w:t>
      </w:r>
    </w:p>
    <w:p>
      <w:pPr>
        <w:spacing w:before="200" w:after="40"/>
        <w:shd w:val="clear" w:color="auto" w:fill="D6E4F0"/>
      </w:pPr>
      <w:r>
        <w:rPr>
          <w:b/>
          <w:color w:val="1F3864"/>
          <w:sz w:val="22"/>
        </w:rPr>
        <w:t xml:space="preserve">  SLIDE 6 — Propuesta de solución</w:t>
      </w:r>
      <w:r>
        <w:rPr>
          <w:b/>
          <w:color w:val="E65100"/>
          <w:sz w:val="22"/>
        </w:rPr>
        <w:t xml:space="preserve">   ⏱ 08:00</w:t>
      </w:r>
    </w:p>
    <w:p>
      <w:pPr>
        <w:spacing w:before="20" w:after="20"/>
        <w:ind w:left="283"/>
      </w:pPr>
      <w:r>
        <w:rPr>
          <w:i/>
          <w:color w:val="595959"/>
          <w:sz w:val="20"/>
        </w:rPr>
        <w:t>[Ángel continúa]</w:t>
      </w:r>
    </w:p>
    <w:p>
      <w:pPr>
        <w:spacing w:before="40" w:after="40"/>
        <w:ind w:left="170"/>
      </w:pPr>
      <w:r>
        <w:rPr>
          <w:b/>
          <w:color w:val="1F497D"/>
          <w:sz w:val="22"/>
        </w:rPr>
        <w:t xml:space="preserve">(A):  </w:t>
      </w:r>
      <w:r>
        <w:rPr>
          <w:color w:val="1F497D"/>
          <w:sz w:val="22"/>
        </w:rPr>
        <w:t>La propuesta es directa: el investigador sube el video al sistema desde el navegador, el sistema lo analiza, y en minutos genera un reporte con los tiempos de nado activo, inmovilidad e intentos de escape por espécimen y por sesión.</w:t>
      </w:r>
    </w:p>
    <w:p>
      <w:pPr>
        <w:spacing w:before="40" w:after="40"/>
        <w:ind w:left="170"/>
      </w:pPr>
      <w:r>
        <w:rPr>
          <w:color w:val="1F497D"/>
          <w:sz w:val="22"/>
        </w:rPr>
        <w:t>Antes de entrar al detalle técnico, quiero dejar algo muy claro: este sistema NO diagnostica depresión ni produce información de uso clínico. Es una herramienta de apoyo al investigador en farmacología preclínica —reemplaza la anotación manual de videos experimentales, nada más.</w:t>
      </w:r>
    </w:p>
    <w:p>
      <w:pPr>
        <w:spacing w:before="40" w:after="40"/>
        <w:ind w:left="170"/>
      </w:pPr>
      <w:r>
        <w:rPr>
          <w:color w:val="1F497D"/>
          <w:sz w:val="22"/>
        </w:rPr>
        <w:t>El sistema tiene dos partes. La primera es el pipeline de análisis de video: usa YOLOv8 para detectar los cilindros y a cada espécimen, ByteTrack con filtro de Kalman para mantener la identidad de cada rata cuadro a cuadro, y ResNet-18 con transfer learning como clasificador de conductas. Si no hay GPU, el sistema tiene respaldo con CSRT/KCF —funciona en CPU.</w:t>
      </w:r>
    </w:p>
    <w:p>
      <w:pPr>
        <w:spacing w:before="40" w:after="40"/>
        <w:ind w:left="170"/>
      </w:pPr>
      <w:r>
        <w:rPr>
          <w:color w:val="1F497D"/>
          <w:sz w:val="22"/>
        </w:rPr>
        <w:t>La segunda parte es la plataforma web: interfaz desde el navegador donde el investigador sube los videos, consulta el estado del análisis en tiempo real, revisa resultados y descarga reportes en CSV, XLSX o PDF. Sin instalación local, desplegable con Docker Compose.</w:t>
      </w:r>
    </w:p>
    <w:p>
      <w:pPr>
        <w:spacing w:before="200" w:after="40"/>
        <w:shd w:val="clear" w:color="auto" w:fill="D6E4F0"/>
      </w:pPr>
      <w:r>
        <w:rPr>
          <w:b/>
          <w:color w:val="1F3864"/>
          <w:sz w:val="22"/>
        </w:rPr>
        <w:t xml:space="preserve">  SLIDE 7 — Objetivo general</w:t>
      </w:r>
      <w:r>
        <w:rPr>
          <w:b/>
          <w:color w:val="E65100"/>
          <w:sz w:val="22"/>
        </w:rPr>
        <w:t xml:space="preserve">   ⏱ 08:45</w:t>
      </w:r>
    </w:p>
    <w:p>
      <w:pPr>
        <w:spacing w:before="20" w:after="20"/>
        <w:ind w:left="283"/>
      </w:pPr>
      <w:r>
        <w:rPr>
          <w:i/>
          <w:color w:val="595959"/>
          <w:sz w:val="20"/>
        </w:rPr>
        <w:t>[Vanesa avanza]</w:t>
      </w:r>
    </w:p>
    <w:p>
      <w:pPr>
        <w:spacing w:before="40" w:after="40"/>
        <w:ind w:left="170"/>
      </w:pPr>
      <w:r>
        <w:rPr>
          <w:b/>
          <w:color w:val="C00000"/>
          <w:sz w:val="22"/>
        </w:rPr>
        <w:t xml:space="preserve">(V):  </w:t>
      </w:r>
      <w:r>
        <w:rPr>
          <w:color w:val="C00000"/>
          <w:sz w:val="22"/>
        </w:rPr>
        <w:t>El objetivo general: diseñar, desarrollar y validar un prototipo de sistema web con visión por computadora y aprendizaje supervisado que automatice la detección y cuantificación de las conductas del FST en ratas, con resultados comparables a la evaluación manual del laboratorio, y cumpliendo los atributos de calidad de la norma ISO/IEC 25010. Ángel habla de objetivos específicos.</w:t>
      </w:r>
    </w:p>
    <w:p>
      <w:pPr>
        <w:spacing w:before="200" w:after="40"/>
        <w:shd w:val="clear" w:color="auto" w:fill="D6E4F0"/>
      </w:pPr>
      <w:r>
        <w:rPr>
          <w:b/>
          <w:color w:val="1F3864"/>
          <w:sz w:val="22"/>
        </w:rPr>
        <w:t xml:space="preserve">  SLIDE 8 — Objetivos específicos</w:t>
      </w:r>
      <w:r>
        <w:rPr>
          <w:b/>
          <w:color w:val="E65100"/>
          <w:sz w:val="22"/>
        </w:rPr>
        <w:t xml:space="preserve">   ⏱ 09:45</w:t>
      </w:r>
    </w:p>
    <w:p>
      <w:pPr>
        <w:spacing w:before="20" w:after="20"/>
        <w:ind w:left="283"/>
      </w:pPr>
      <w:r>
        <w:rPr>
          <w:i/>
          <w:color w:val="595959"/>
          <w:sz w:val="20"/>
        </w:rPr>
        <w:t>[Ángel avanza]</w:t>
      </w:r>
    </w:p>
    <w:p>
      <w:pPr>
        <w:spacing w:before="40" w:after="40"/>
        <w:ind w:left="170"/>
      </w:pPr>
      <w:r>
        <w:rPr>
          <w:b/>
          <w:color w:val="1F497D"/>
          <w:sz w:val="22"/>
        </w:rPr>
        <w:t xml:space="preserve">(A):  </w:t>
      </w:r>
      <w:r>
        <w:rPr>
          <w:color w:val="1F497D"/>
          <w:sz w:val="22"/>
        </w:rPr>
        <w:t>Los seis objetivos están divididos entre TT-I y TT-II. En TT-I —que es esta defensa— los tres primeros: revisar herramientas y trabajos existentes, documentar el protocolo experimental del laboratorio, y diseñar la arquitectura conforme a ISO/IEC/IEEE 12207. Los tres de TT-II: implementar el pipeline y el clasificador, evaluar su desempeño con F1/precisión/recall por clase sobre un conjunto de prueba independiente, y cuantificar la reducción de tiempo frente al método manual.</w:t>
      </w:r>
    </w:p>
    <w:p>
      <w:pPr>
        <w:spacing w:before="200" w:after="40"/>
        <w:shd w:val="clear" w:color="auto" w:fill="D6E4F0"/>
      </w:pPr>
      <w:r>
        <w:rPr>
          <w:b/>
          <w:color w:val="1F3864"/>
          <w:sz w:val="22"/>
        </w:rPr>
        <w:t xml:space="preserve">  SLIDE 9 — Estado del Arte</w:t>
      </w:r>
      <w:r>
        <w:rPr>
          <w:b/>
          <w:color w:val="E65100"/>
          <w:sz w:val="22"/>
        </w:rPr>
        <w:t xml:space="preserve">   ⏱ 11:15</w:t>
      </w:r>
    </w:p>
    <w:p>
      <w:pPr>
        <w:spacing w:before="20" w:after="20"/>
        <w:ind w:left="283"/>
      </w:pPr>
      <w:r>
        <w:rPr>
          <w:i/>
          <w:color w:val="595959"/>
          <w:sz w:val="20"/>
        </w:rPr>
        <w:t>[Vanesa avanza]</w:t>
      </w:r>
    </w:p>
    <w:p>
      <w:pPr>
        <w:spacing w:before="40" w:after="40"/>
        <w:ind w:left="170"/>
      </w:pPr>
      <w:r>
        <w:rPr>
          <w:b/>
          <w:color w:val="C00000"/>
          <w:sz w:val="22"/>
        </w:rPr>
        <w:t xml:space="preserve">(V):  </w:t>
      </w:r>
      <w:r>
        <w:rPr>
          <w:color w:val="C00000"/>
          <w:sz w:val="22"/>
        </w:rPr>
        <w:t>En la revisión encontramos que ninguna herramienta resuelve el problema completo. EthoVision XT y ANY-maze tienen costos de licencia fuera del alcance académico del IPN y solo detectan movimiento general —no distinguen las tres conductas del FST. Las alternativas abiertas, ezTrack y DBscorer, tampoco hacen esa distinción.</w:t>
      </w:r>
    </w:p>
    <w:p>
      <w:pPr>
        <w:spacing w:before="40" w:after="40"/>
        <w:ind w:left="170"/>
      </w:pPr>
      <w:r>
        <w:rPr>
          <w:color w:val="C00000"/>
          <w:sz w:val="22"/>
        </w:rPr>
        <w:t>Los trabajos más recientes con aprendizaje profundo —DSAAN de 2024 y 3D-RCNN de 2025— sí alcanzan las tres conductas, pero ninguno se distribuye como sistema desplegable que un laboratorio sin infraestructura especializada pueda usar directamente.</w:t>
      </w:r>
    </w:p>
    <w:p>
      <w:pPr>
        <w:spacing w:before="40" w:after="40"/>
        <w:ind w:left="170"/>
      </w:pPr>
      <w:r>
        <w:rPr>
          <w:color w:val="C00000"/>
          <w:sz w:val="22"/>
        </w:rPr>
        <w:t>Nuestra propuesta atiende las tres brechas simultáneamente: tres conductas, sin licencia, con interfaz web y seguimiento multi-objeto con ByteTrack. Esa combinación no existe en ninguna herramienta disponible hoy.</w:t>
      </w:r>
    </w:p>
    <w:p>
      <w:pPr>
        <w:spacing w:before="200" w:after="40"/>
        <w:shd w:val="clear" w:color="auto" w:fill="D6E4F0"/>
      </w:pPr>
      <w:r>
        <w:rPr>
          <w:b/>
          <w:color w:val="1F3864"/>
          <w:sz w:val="22"/>
        </w:rPr>
        <w:t xml:space="preserve">  SLIDE 10 — Metodología Scrum</w:t>
      </w:r>
      <w:r>
        <w:rPr>
          <w:b/>
          <w:color w:val="E65100"/>
          <w:sz w:val="22"/>
        </w:rPr>
        <w:t xml:space="preserve">   ⏱ 12:45</w:t>
      </w:r>
    </w:p>
    <w:p>
      <w:pPr>
        <w:spacing w:before="20" w:after="20"/>
        <w:ind w:left="283"/>
      </w:pPr>
      <w:r>
        <w:rPr>
          <w:i/>
          <w:color w:val="595959"/>
          <w:sz w:val="20"/>
        </w:rPr>
        <w:t>[Ángel avanza]</w:t>
      </w:r>
    </w:p>
    <w:p>
      <w:pPr>
        <w:spacing w:before="40" w:after="40"/>
        <w:ind w:left="170"/>
      </w:pPr>
      <w:r>
        <w:rPr>
          <w:b/>
          <w:color w:val="1F497D"/>
          <w:sz w:val="22"/>
        </w:rPr>
        <w:t xml:space="preserve">(A):  </w:t>
      </w:r>
      <w:r>
        <w:rPr>
          <w:color w:val="1F497D"/>
          <w:sz w:val="22"/>
        </w:rPr>
        <w:t>Para el desarrollo usamos Scrum adaptado a un equipo de dos personas con entregas en dos etapas académicas. Scrum permite ajustar decisiones al cierre de cada bloque —lo cual es crítico cuando el módulo de seguimiento puede cambiar el diseño del clasificador.</w:t>
      </w:r>
    </w:p>
    <w:p>
      <w:pPr>
        <w:spacing w:before="40" w:after="40"/>
        <w:ind w:left="170"/>
      </w:pPr>
      <w:r>
        <w:rPr>
          <w:color w:val="1F497D"/>
          <w:sz w:val="22"/>
        </w:rPr>
        <w:t>Responsabilidades separadas por frente técnico: yo, Ángel, soy responsable del sistema web e infraestructura —backend Flask, base de datos, frontend React, despliegue con Docker. Vanesa es responsable del pipeline de análisis —preprocesamiento de video, entrenamiento del clasificador ResNet-18, evaluación del desempeño por clase.</w:t>
      </w:r>
    </w:p>
    <w:p>
      <w:pPr>
        <w:spacing w:before="40" w:after="40"/>
        <w:ind w:left="170"/>
      </w:pPr>
      <w:r>
        <w:rPr>
          <w:color w:val="1F497D"/>
          <w:sz w:val="22"/>
        </w:rPr>
        <w:t>Cada sprint cierra con revisión quincenal con los directores y el Dr. Sandino. En TT-I los sprints cubrieron el análisis y el diseño —lo que les presentamos hoy.</w:t>
      </w:r>
    </w:p>
    <w:p>
      <w:pPr>
        <w:spacing w:before="200" w:after="40"/>
        <w:shd w:val="clear" w:color="auto" w:fill="D6E4F0"/>
      </w:pPr>
      <w:r>
        <w:rPr>
          <w:b/>
          <w:color w:val="1F3864"/>
          <w:sz w:val="22"/>
        </w:rPr>
        <w:t xml:space="preserve">  SLIDE 11 — Requerimientos Funcionales</w:t>
      </w:r>
      <w:r>
        <w:rPr>
          <w:b/>
          <w:color w:val="E65100"/>
          <w:sz w:val="22"/>
        </w:rPr>
        <w:t xml:space="preserve">   ⏱ 14:00</w:t>
      </w:r>
    </w:p>
    <w:p>
      <w:pPr>
        <w:spacing w:before="20" w:after="20"/>
        <w:ind w:left="283"/>
      </w:pPr>
      <w:r>
        <w:rPr>
          <w:i/>
          <w:color w:val="595959"/>
          <w:sz w:val="20"/>
        </w:rPr>
        <w:t>[Vanesa avanza]</w:t>
      </w:r>
    </w:p>
    <w:p>
      <w:pPr>
        <w:spacing w:before="40" w:after="40"/>
        <w:ind w:left="170"/>
      </w:pPr>
      <w:r>
        <w:rPr>
          <w:b/>
          <w:color w:val="C00000"/>
          <w:sz w:val="22"/>
        </w:rPr>
        <w:t xml:space="preserve">(V):  </w:t>
      </w:r>
      <w:r>
        <w:rPr>
          <w:color w:val="C00000"/>
          <w:sz w:val="22"/>
        </w:rPr>
        <w:t>29 requerimientos funcionales organizados en seis módulos. Autenticación con correo @ipn.mx y roles investigador/administrador. Gestión de usuarios con autoregistro —la cuenta queda inactiva hasta que el administrador la aprueba. Carga de video solo en MP4. El pipeline tiene cuatro etapas con indicador de estado en tiempo real. Resultados con tiempo total por conducta, desglose por minuto y estadísticos de grupo. El dashboard centraliza todos los experimentos del laboratorio.</w:t>
      </w:r>
    </w:p>
    <w:p>
      <w:pPr>
        <w:spacing w:before="40" w:after="40"/>
        <w:ind w:left="170"/>
      </w:pPr>
      <w:r>
        <w:rPr>
          <w:color w:val="C00000"/>
          <w:sz w:val="22"/>
        </w:rPr>
        <w:t>Dos requisitos con implicación científica directa: RF-30 establece que una conducta solo se contabiliza si dura al menos tres segundos consecutivos —reproduce el estándar del laboratorio. Y RF-17 clasifica el buceo como nado activo, conforme a la literatura.</w:t>
      </w:r>
    </w:p>
    <w:p>
      <w:pPr>
        <w:spacing w:before="200" w:after="40"/>
        <w:shd w:val="clear" w:color="auto" w:fill="D6E4F0"/>
      </w:pPr>
      <w:r>
        <w:rPr>
          <w:b/>
          <w:color w:val="1F3864"/>
          <w:sz w:val="22"/>
        </w:rPr>
        <w:t xml:space="preserve">  SLIDE 12 — Reglas de negocio</w:t>
      </w:r>
      <w:r>
        <w:rPr>
          <w:b/>
          <w:color w:val="E65100"/>
          <w:sz w:val="22"/>
        </w:rPr>
        <w:t xml:space="preserve">   ⏱ 14:45</w:t>
      </w:r>
    </w:p>
    <w:p>
      <w:pPr>
        <w:spacing w:before="20" w:after="20"/>
        <w:ind w:left="283"/>
      </w:pPr>
      <w:r>
        <w:rPr>
          <w:i/>
          <w:color w:val="595959"/>
          <w:sz w:val="20"/>
        </w:rPr>
        <w:t>[Ángel avanza]</w:t>
      </w:r>
    </w:p>
    <w:p>
      <w:pPr>
        <w:spacing w:before="40" w:after="40"/>
        <w:ind w:left="170"/>
      </w:pPr>
      <w:r>
        <w:rPr>
          <w:b/>
          <w:color w:val="1F497D"/>
          <w:sz w:val="22"/>
        </w:rPr>
        <w:t xml:space="preserve">(A):  </w:t>
      </w:r>
      <w:r>
        <w:rPr>
          <w:color w:val="1F497D"/>
          <w:sz w:val="22"/>
        </w:rPr>
        <w:t>Las 13 reglas de negocio definen el comportamiento del sistema en casos límite. Las más críticas para la validez científica:</w:t>
      </w:r>
    </w:p>
    <w:p>
      <w:pPr>
        <w:spacing w:before="40" w:after="40"/>
        <w:ind w:left="170"/>
      </w:pPr>
      <w:r>
        <w:rPr>
          <w:color w:val="1F497D"/>
          <w:sz w:val="22"/>
        </w:rPr>
        <w:t>RN-07: solo una conducta activa por cuadro —mutuamente excluyentes.</w:t>
      </w:r>
    </w:p>
    <w:p>
      <w:pPr>
        <w:spacing w:before="40" w:after="40"/>
        <w:ind w:left="170"/>
      </w:pPr>
      <w:r>
        <w:rPr>
          <w:color w:val="1F497D"/>
          <w:sz w:val="22"/>
        </w:rPr>
        <w:t>RN-11: el análisis solo es válido si la confianza de detección de cilindros supera 0.70.</w:t>
      </w:r>
    </w:p>
    <w:p>
      <w:pPr>
        <w:spacing w:before="40" w:after="40"/>
        <w:ind w:left="170"/>
      </w:pPr>
      <w:r>
        <w:rPr>
          <w:color w:val="1F497D"/>
          <w:sz w:val="22"/>
        </w:rPr>
        <w:t>RN-13: si el F1 no alcanza el objetivo diferenciando escalamiento de nado, el sistema agrupa ambas en "conducta activa" y lo registra en el reporte. Este fallback es equivalente al protocolo original de Porsolt 1977 —no invalida el experimento, solo reduce la granularidad.</w:t>
      </w:r>
    </w:p>
    <w:p>
      <w:pPr>
        <w:spacing w:before="200" w:after="40"/>
        <w:shd w:val="clear" w:color="auto" w:fill="D6E4F0"/>
      </w:pPr>
      <w:r>
        <w:rPr>
          <w:b/>
          <w:color w:val="1F3864"/>
          <w:sz w:val="22"/>
        </w:rPr>
        <w:t xml:space="preserve">  SLIDE 13 — Diagrama de casos de uso</w:t>
      </w:r>
      <w:r>
        <w:rPr>
          <w:b/>
          <w:color w:val="E65100"/>
          <w:sz w:val="22"/>
        </w:rPr>
        <w:t xml:space="preserve">   ⏱ 15:15</w:t>
      </w:r>
    </w:p>
    <w:p>
      <w:pPr>
        <w:spacing w:before="20" w:after="20"/>
        <w:ind w:left="283"/>
      </w:pPr>
      <w:r>
        <w:rPr>
          <w:i/>
          <w:color w:val="595959"/>
          <w:sz w:val="20"/>
        </w:rPr>
        <w:t>[Vanesa avanza; señala el diagrama]</w:t>
      </w:r>
    </w:p>
    <w:p>
      <w:pPr>
        <w:spacing w:before="40" w:after="40"/>
        <w:ind w:left="170"/>
      </w:pPr>
      <w:r>
        <w:rPr>
          <w:b/>
          <w:color w:val="C00000"/>
          <w:sz w:val="22"/>
        </w:rPr>
        <w:t xml:space="preserve">(V):  </w:t>
      </w:r>
      <w:r>
        <w:rPr>
          <w:color w:val="C00000"/>
          <w:sz w:val="22"/>
        </w:rPr>
        <w:t>El diagrama organiza el sistema en tres paquetes. Paquete 1: autenticación —registro, login, recuperación de contraseña y gestión de roles. Paquete 2: flujo del investigador —crear experimento, cargar video, consultar progreso, revisar resultados y descargar reportes. Paquete 3: funciones del administrador —aprobar cuentas, monitorear la cola y gestionar el almacenamiento. Los actores son el Investigador, el Administrador y el Sistema de análisis, que dispara el pipeline automáticamente.</w:t>
      </w:r>
    </w:p>
    <w:p>
      <w:pPr>
        <w:spacing w:before="200" w:after="40"/>
        <w:shd w:val="clear" w:color="auto" w:fill="D6E4F0"/>
      </w:pPr>
      <w:r>
        <w:rPr>
          <w:b/>
          <w:color w:val="1F3864"/>
          <w:sz w:val="22"/>
        </w:rPr>
        <w:t xml:space="preserve">  SLIDE 14 — Diagrama de secuencia</w:t>
      </w:r>
      <w:r>
        <w:rPr>
          <w:b/>
          <w:color w:val="E65100"/>
          <w:sz w:val="22"/>
        </w:rPr>
        <w:t xml:space="preserve">   ⏱ 15:45</w:t>
      </w:r>
    </w:p>
    <w:p>
      <w:pPr>
        <w:spacing w:before="20" w:after="20"/>
        <w:ind w:left="283"/>
      </w:pPr>
      <w:r>
        <w:rPr>
          <w:i/>
          <w:color w:val="595959"/>
          <w:sz w:val="20"/>
        </w:rPr>
        <w:t>[Ángel avanza]</w:t>
      </w:r>
    </w:p>
    <w:p>
      <w:pPr>
        <w:spacing w:before="40" w:after="40"/>
        <w:ind w:left="170"/>
      </w:pPr>
      <w:r>
        <w:rPr>
          <w:b/>
          <w:color w:val="1F497D"/>
          <w:sz w:val="22"/>
        </w:rPr>
        <w:t xml:space="preserve">(A):  </w:t>
      </w:r>
      <w:r>
        <w:rPr>
          <w:color w:val="1F497D"/>
          <w:sz w:val="22"/>
        </w:rPr>
        <w:t>El diagrama muestra el flujo completo: el investigador carga el archivo, el frontend lo valida y lo envía al backend. El backend lo encola en Celery y confirma la recepción. El worker ejecuta el pipeline —preprocesamiento, detección, seguimiento, clasificación— y escribe los resultados en PostgreSQL. El investigador consulta el progreso en tiempo real y recibe la notificación al terminar.</w:t>
      </w:r>
    </w:p>
    <w:p>
      <w:pPr>
        <w:spacing w:before="200" w:after="40"/>
        <w:shd w:val="clear" w:color="auto" w:fill="D6E4F0"/>
      </w:pPr>
      <w:r>
        <w:rPr>
          <w:b/>
          <w:color w:val="1F3864"/>
          <w:sz w:val="22"/>
        </w:rPr>
        <w:t xml:space="preserve">  SLIDE 15 — Arquitectura</w:t>
      </w:r>
      <w:r>
        <w:rPr>
          <w:b/>
          <w:color w:val="E65100"/>
          <w:sz w:val="22"/>
        </w:rPr>
        <w:t xml:space="preserve">   ⏱ 16:45</w:t>
      </w:r>
    </w:p>
    <w:p>
      <w:pPr>
        <w:spacing w:before="20" w:after="20"/>
        <w:ind w:left="283"/>
      </w:pPr>
      <w:r>
        <w:rPr>
          <w:i/>
          <w:color w:val="595959"/>
          <w:sz w:val="20"/>
        </w:rPr>
        <w:t>[Vanesa avanza; señala el diagrama de arquitectura]</w:t>
      </w:r>
    </w:p>
    <w:p>
      <w:pPr>
        <w:spacing w:before="40" w:after="40"/>
        <w:ind w:left="170"/>
      </w:pPr>
      <w:r>
        <w:rPr>
          <w:b/>
          <w:color w:val="C00000"/>
          <w:sz w:val="22"/>
        </w:rPr>
        <w:t xml:space="preserve">(V):  </w:t>
      </w:r>
      <w:r>
        <w:rPr>
          <w:color w:val="C00000"/>
          <w:sz w:val="22"/>
        </w:rPr>
        <w:t>Arquitectura cliente-servidor de tres capas en contenedores Docker independientes. Frontend en React.js en el navegador —sin acceso directo a la base de datos. Backend en Flask con API REST, autenticación JWT, validación de archivos y encolado. El worker es el componente clave para la escalabilidad: corre de forma independiente, así el servidor sigue respondiendo mientras un video de veinte minutos se procesa. Cuarto contenedor: PostgreSQL para la persistencia.</w:t>
      </w:r>
    </w:p>
    <w:p>
      <w:pPr>
        <w:spacing w:before="40" w:after="40"/>
        <w:ind w:left="170"/>
      </w:pPr>
      <w:r>
        <w:rPr>
          <w:color w:val="C00000"/>
          <w:sz w:val="22"/>
        </w:rPr>
        <w:t>La separación en contenedores satisface el atributo de portabilidad de ISO/IEC/IEEE 12207: el sistema se levanta con docker compose up en cualquier máquina sin dependencias adicionales.</w:t>
      </w:r>
    </w:p>
    <w:p>
      <w:pPr>
        <w:spacing w:before="200" w:after="40"/>
        <w:shd w:val="clear" w:color="auto" w:fill="D6E4F0"/>
      </w:pPr>
      <w:r>
        <w:rPr>
          <w:b/>
          <w:color w:val="1F3864"/>
          <w:sz w:val="22"/>
        </w:rPr>
        <w:t xml:space="preserve">  SLIDES 16–17 — Tecnologías</w:t>
      </w:r>
      <w:r>
        <w:rPr>
          <w:b/>
          <w:color w:val="E65100"/>
          <w:sz w:val="22"/>
        </w:rPr>
        <w:t xml:space="preserve">   ⏱ 17:15</w:t>
      </w:r>
    </w:p>
    <w:p>
      <w:pPr>
        <w:spacing w:before="20" w:after="20"/>
        <w:ind w:left="283"/>
      </w:pPr>
      <w:r>
        <w:rPr>
          <w:i/>
          <w:color w:val="595959"/>
          <w:sz w:val="20"/>
        </w:rPr>
        <w:t>[Ángel avanza]</w:t>
      </w:r>
    </w:p>
    <w:p>
      <w:pPr>
        <w:spacing w:before="40" w:after="40"/>
        <w:ind w:left="170"/>
      </w:pPr>
      <w:r>
        <w:rPr>
          <w:b/>
          <w:color w:val="1F497D"/>
          <w:sz w:val="22"/>
        </w:rPr>
        <w:t xml:space="preserve">(A):  </w:t>
      </w:r>
      <w:r>
        <w:rPr>
          <w:color w:val="1F497D"/>
          <w:sz w:val="22"/>
        </w:rPr>
        <w:t>El stack dividido por frente. Web: React + Vite, Flask, Celery + Redis, PostgreSQL + SQLAlchemy, Nginx. Pipeline: Python 3.11, OpenCV con CLAHE, YOLOv8 para detección, ByteTrack + Kalman para seguimiento, ResNet-18 con transfer learning como clasificador. Git y Docker Compose para control de versiones y despliegue.</w:t>
      </w:r>
    </w:p>
    <w:p>
      <w:pPr>
        <w:spacing w:before="200" w:after="40"/>
        <w:shd w:val="clear" w:color="auto" w:fill="D6E4F0"/>
      </w:pPr>
      <w:r>
        <w:rPr>
          <w:b/>
          <w:color w:val="1F3864"/>
          <w:sz w:val="22"/>
        </w:rPr>
        <w:t xml:space="preserve">  SLIDE 18 — ¿Por qué visión por computadora?</w:t>
      </w:r>
      <w:r>
        <w:rPr>
          <w:b/>
          <w:color w:val="E65100"/>
          <w:sz w:val="22"/>
        </w:rPr>
        <w:t xml:space="preserve">   ⏱ 19:00</w:t>
      </w:r>
    </w:p>
    <w:p>
      <w:pPr>
        <w:spacing w:before="20" w:after="20"/>
        <w:ind w:left="283"/>
      </w:pPr>
      <w:r>
        <w:rPr>
          <w:i/>
          <w:color w:val="595959"/>
          <w:sz w:val="20"/>
        </w:rPr>
        <w:t>[Vanesa avanza]</w:t>
      </w:r>
    </w:p>
    <w:p>
      <w:pPr>
        <w:spacing w:before="40" w:after="40"/>
        <w:ind w:left="170"/>
      </w:pPr>
      <w:r>
        <w:rPr>
          <w:b/>
          <w:color w:val="C00000"/>
          <w:sz w:val="22"/>
        </w:rPr>
        <w:t xml:space="preserve">(V):  </w:t>
      </w:r>
      <w:r>
        <w:rPr>
          <w:color w:val="C00000"/>
          <w:sz w:val="22"/>
        </w:rPr>
        <w:t>¿Por qué necesitamos visión por computadora y aprendizaje supervisado? Tres razones.</w:t>
      </w:r>
    </w:p>
    <w:p>
      <w:pPr>
        <w:spacing w:before="40" w:after="40"/>
        <w:ind w:left="170"/>
      </w:pPr>
      <w:r>
        <w:rPr>
          <w:color w:val="C00000"/>
          <w:sz w:val="22"/>
        </w:rPr>
        <w:t>Primera: el problema no es separable con reglas fijas. Los límites entre las tres conductas dependen del contexto de movimiento de cada cuadro. Ningún umbral de píxeles captura esa frontera de forma robusta —sí lo hace un clasificador entrenado con ejemplos reales del laboratorio.</w:t>
      </w:r>
    </w:p>
    <w:p>
      <w:pPr>
        <w:spacing w:before="40" w:after="40"/>
        <w:ind w:left="170"/>
      </w:pPr>
      <w:r>
        <w:rPr>
          <w:color w:val="C00000"/>
          <w:sz w:val="22"/>
        </w:rPr>
        <w:t>Segunda: el video es el único canal de información disponible. El FST no genera audio ni acelerometría. Las herramientas clásicas usan umbralizado y centroide —no distinguen las tres conductas. YOLOv8 y ByteTrack extraen postura y trayectoria desde ese mismo video, sin modificar el protocolo experimental.</w:t>
      </w:r>
    </w:p>
    <w:p>
      <w:pPr>
        <w:spacing w:before="40" w:after="40"/>
        <w:ind w:left="170"/>
      </w:pPr>
      <w:r>
        <w:rPr>
          <w:color w:val="C00000"/>
          <w:sz w:val="22"/>
        </w:rPr>
        <w:t>Tercera: el clasificador es verificable y su error tiene consecuencia definida. La métrica objetivo es F1 ≥ 85 % por clase. Si no se alcanza, se aplica el fallback documentado en RN-13. El riesgo científico está acotado por diseño.</w:t>
      </w:r>
    </w:p>
    <w:p>
      <w:pPr>
        <w:spacing w:before="200" w:after="40"/>
        <w:shd w:val="clear" w:color="auto" w:fill="D6E4F0"/>
      </w:pPr>
      <w:r>
        <w:rPr>
          <w:b/>
          <w:color w:val="1F3864"/>
          <w:sz w:val="22"/>
        </w:rPr>
        <w:t xml:space="preserve">  SLIDES 19–20 — Conclusiones TT-I</w:t>
      </w:r>
      <w:r>
        <w:rPr>
          <w:b/>
          <w:color w:val="E65100"/>
          <w:sz w:val="22"/>
        </w:rPr>
        <w:t xml:space="preserve">   ⏱ 19:40</w:t>
      </w:r>
    </w:p>
    <w:p>
      <w:pPr>
        <w:spacing w:before="20" w:after="20"/>
        <w:ind w:left="283"/>
      </w:pPr>
      <w:r>
        <w:rPr>
          <w:i/>
          <w:color w:val="595959"/>
          <w:sz w:val="20"/>
        </w:rPr>
        <w:t>[Ángel avanza]</w:t>
      </w:r>
    </w:p>
    <w:p>
      <w:pPr>
        <w:spacing w:before="40" w:after="40"/>
        <w:ind w:left="170"/>
      </w:pPr>
      <w:r>
        <w:rPr>
          <w:b/>
          <w:color w:val="1F497D"/>
          <w:sz w:val="22"/>
        </w:rPr>
        <w:t xml:space="preserve">(A):  </w:t>
      </w:r>
      <w:r>
        <w:rPr>
          <w:color w:val="1F497D"/>
          <w:sz w:val="22"/>
        </w:rPr>
        <w:t>Las conclusiones corresponden uno a uno con los tres objetivos de TT-I.</w:t>
      </w:r>
    </w:p>
    <w:p>
      <w:pPr>
        <w:spacing w:before="40" w:after="40"/>
        <w:ind w:left="170"/>
      </w:pPr>
      <w:r>
        <w:rPr>
          <w:color w:val="1F497D"/>
          <w:sz w:val="22"/>
        </w:rPr>
        <w:t>OE-1 cumplido: revisamos ocho herramientas y trabajos —ninguno resuelve las tres brechas simultáneamente.</w:t>
      </w:r>
    </w:p>
    <w:p>
      <w:pPr>
        <w:spacing w:before="40" w:after="40"/>
        <w:ind w:left="170"/>
      </w:pPr>
      <w:r>
        <w:rPr>
          <w:color w:val="1F497D"/>
          <w:sz w:val="22"/>
        </w:rPr>
        <w:t>OE-2 cumplido: documentamos el protocolo experimental del Dr. Sandino con el nivel de detalle necesario para guiar el entrenamiento del clasificador.</w:t>
      </w:r>
    </w:p>
    <w:p>
      <w:pPr>
        <w:spacing w:before="40" w:after="40"/>
        <w:ind w:left="170"/>
      </w:pPr>
      <w:r>
        <w:rPr>
          <w:color w:val="1F497D"/>
          <w:sz w:val="22"/>
        </w:rPr>
        <w:t>OE-3 cumplido: diseñamos la arquitectura con 29 RF, 13 atributos de calidad bajo ISO/IEC 25010 y 13 reglas de negocio que definen qué construir en TT-II y con qué criterio evaluarse.</w:t>
      </w:r>
    </w:p>
    <w:p>
      <w:pPr>
        <w:spacing w:before="40" w:after="40"/>
        <w:ind w:left="170"/>
      </w:pPr>
      <w:r>
        <w:rPr>
          <w:color w:val="1F497D"/>
          <w:sz w:val="22"/>
        </w:rPr>
        <w:t>El trabajo de TT-I no es un punto de partida genérico —es el fundamento técnico y científico sobre el que descansa toda la implementación.</w:t>
      </w:r>
    </w:p>
    <w:p>
      <w:pPr>
        <w:spacing w:before="200" w:after="40"/>
        <w:shd w:val="clear" w:color="auto" w:fill="D6E4F0"/>
      </w:pPr>
      <w:r>
        <w:rPr>
          <w:b/>
          <w:color w:val="1F3864"/>
          <w:sz w:val="22"/>
        </w:rPr>
        <w:t xml:space="preserve">  SLIDE 21 — Plan TT-II</w:t>
      </w:r>
      <w:r>
        <w:rPr>
          <w:b/>
          <w:color w:val="E65100"/>
          <w:sz w:val="22"/>
        </w:rPr>
        <w:t xml:space="preserve">   ⏱ 20:00</w:t>
      </w:r>
    </w:p>
    <w:p>
      <w:pPr>
        <w:spacing w:before="20" w:after="20"/>
        <w:ind w:left="283"/>
      </w:pPr>
      <w:r>
        <w:rPr>
          <w:i/>
          <w:color w:val="595959"/>
          <w:sz w:val="20"/>
        </w:rPr>
        <w:t>[Vanesa cierra]</w:t>
      </w:r>
    </w:p>
    <w:p>
      <w:pPr>
        <w:spacing w:before="40" w:after="40"/>
        <w:ind w:left="170"/>
      </w:pPr>
      <w:r>
        <w:rPr>
          <w:b/>
          <w:color w:val="C00000"/>
          <w:sz w:val="22"/>
        </w:rPr>
        <w:t xml:space="preserve">(V):  </w:t>
      </w:r>
      <w:r>
        <w:rPr>
          <w:color w:val="C00000"/>
          <w:sz w:val="22"/>
        </w:rPr>
        <w:t>Para TT-II tenemos tres tareas. Implementar el pipeline de visión completo e integrarlo con la plataforma web y el worker Celery–Redis. Evaluar el clasificador con F1, precisión y recall por clase, criterio de aceptación F1 ≥ 85 % por conducta. Y cuantificar la reducción de tiempo frente al método manual.</w:t>
      </w:r>
    </w:p>
    <w:p>
      <w:pPr>
        <w:spacing w:before="40" w:after="40"/>
        <w:ind w:left="170"/>
      </w:pPr>
      <w:r>
        <w:rPr>
          <w:color w:val="C00000"/>
          <w:sz w:val="22"/>
        </w:rPr>
        <w:t>Esto es todo de nuestra parte. Quedamos a sus preguntas.</w:t>
      </w:r>
    </w:p>
    <w:p>
      <w:r>
        <w:br w:type="page"/>
      </w:r>
    </w:p>
    <w:p>
      <w:pPr>
        <w:spacing w:before="240" w:after="80"/>
        <w:shd w:val="clear" w:color="auto" w:fill="1F3864"/>
      </w:pPr>
      <w:r>
        <w:rPr>
          <w:b/>
          <w:color w:val="FFFFFF"/>
          <w:sz w:val="24"/>
        </w:rPr>
        <w:t xml:space="preserve">  SECCIÓN 2 — PREGUNTAS DEL JURADO  (~55 minutos · 13 preguntas)</w:t>
      </w:r>
    </w:p>
    <w:p>
      <w:pPr>
        <w:spacing w:before="80" w:after="80"/>
        <w:shd w:val="clear" w:color="auto" w:fill="F2F2F2"/>
        <w:ind w:left="170"/>
      </w:pPr>
      <w:r>
        <w:rPr>
          <w:i/>
          <w:color w:val="595959"/>
          <w:sz w:val="20"/>
        </w:rPr>
        <w:t>Dinámica: el jurado puede preguntar a cualquiera. La persona interpelada responde primero; el otro complementa en máximo 30 s. Nunca interrumpan la pregunta. Si no saben algo: "eso lo definiremos en la fase de validación de TT-II".</w:t>
      </w:r>
    </w:p>
    <w:p/>
    <w:p>
      <w:pPr>
        <w:spacing w:before="240" w:after="60"/>
        <w:shd w:val="clear" w:color="auto" w:fill="FFF2CC"/>
      </w:pPr>
      <w:r>
        <w:rPr>
          <w:b/>
          <w:color w:val="7B001E"/>
          <w:sz w:val="22"/>
        </w:rPr>
        <w:t xml:space="preserve">  PREGUNTA 1  —  ~5 min</w:t>
      </w:r>
    </w:p>
    <w:p>
      <w:pPr>
        <w:spacing w:before="40" w:after="40"/>
        <w:ind w:left="170"/>
      </w:pPr>
      <w:r>
        <w:rPr>
          <w:b/>
          <w:color w:val="7B001E"/>
          <w:sz w:val="22"/>
        </w:rPr>
        <w:t xml:space="preserve">JURADO:  </w:t>
      </w:r>
      <w:r>
        <w:rPr>
          <w:i/>
          <w:color w:val="7B001E"/>
          <w:sz w:val="22"/>
        </w:rPr>
        <w:t>"Su sistema clasifica conductas con ResNet-18, una red diseñada para ImageNet —gatos, perros, autos. ¿Cómo justifican usar esa arquitectura para distinguir conductas de una rata en agua? ¿No hay una incompatibilidad conceptual ahí?"</w:t>
      </w:r>
    </w:p>
    <w:p>
      <w:pPr>
        <w:spacing w:before="40" w:after="40"/>
        <w:ind w:left="170"/>
      </w:pPr>
      <w:r>
        <w:rPr>
          <w:b/>
          <w:color w:val="C00000"/>
          <w:sz w:val="22"/>
        </w:rPr>
        <w:t xml:space="preserve">RESPUESTA (V):  </w:t>
      </w:r>
      <w:r>
        <w:rPr>
          <w:color w:val="C00000"/>
          <w:sz w:val="22"/>
        </w:rPr>
        <w:t>ResNet-18 preentrenada en ImageNet no se usa como clasificador de objetos —se usa como extractor de características visuales. El proceso se llama transfer learning: los pesos aprendidos capturan características de bajo y mediano nivel —bordes, texturas, formas— útiles para cualquier tarea de clasificación visual, incluida la nuestra.</w:t>
      </w:r>
    </w:p>
    <w:p>
      <w:pPr>
        <w:spacing w:before="40" w:after="40"/>
        <w:ind w:left="170"/>
      </w:pPr>
      <w:r>
        <w:rPr>
          <w:color w:val="C00000"/>
          <w:sz w:val="22"/>
        </w:rPr>
        <w:t>Lo que cambia completamente es la capa final: se reemplaza por una capa densa entrenada desde cero con recortes anotados de ratas del laboratorio. La red aprende a distinguir la postura de la rata a partir de ejemplos reales. Este enfoque está documentado en los trabajos de Della Valle 2025 y Meng 2024. Elegimos ResNet-18 por ser suficientemente profunda y suficientemente liviana para correr en CPU.</w:t>
      </w:r>
    </w:p>
    <w:p>
      <w:pPr>
        <w:spacing w:before="240" w:after="60"/>
        <w:shd w:val="clear" w:color="auto" w:fill="FFF2CC"/>
      </w:pPr>
      <w:r>
        <w:rPr>
          <w:b/>
          <w:color w:val="7B001E"/>
          <w:sz w:val="22"/>
        </w:rPr>
        <w:t xml:space="preserve">  PREGUNTA 2  —  ~5 min</w:t>
      </w:r>
    </w:p>
    <w:p>
      <w:pPr>
        <w:spacing w:before="40" w:after="40"/>
        <w:ind w:left="170"/>
      </w:pPr>
      <w:r>
        <w:rPr>
          <w:b/>
          <w:color w:val="7B001E"/>
          <w:sz w:val="22"/>
        </w:rPr>
        <w:t xml:space="preserve">JURADO:  </w:t>
      </w:r>
      <w:r>
        <w:rPr>
          <w:i/>
          <w:color w:val="7B001E"/>
          <w:sz w:val="22"/>
        </w:rPr>
        <w:t>"El FST dura 20 minutos el Día 1. Pero su sistema solo analiza 5 minutos del grupo control. ¿Para qué sirven los otros 15? ¿Los están desperdiciando? ¿O es que su sistema no puede con un video más largo?"</w:t>
      </w:r>
    </w:p>
    <w:p>
      <w:pPr>
        <w:spacing w:before="40" w:after="40"/>
        <w:ind w:left="170"/>
      </w:pPr>
      <w:r>
        <w:rPr>
          <w:b/>
          <w:color w:val="1F497D"/>
          <w:sz w:val="22"/>
        </w:rPr>
        <w:t xml:space="preserve">RESPUESTA (A):  </w:t>
      </w:r>
      <w:r>
        <w:rPr>
          <w:color w:val="1F497D"/>
          <w:sz w:val="22"/>
        </w:rPr>
        <w:t>La limitación no es técnica —es del protocolo experimental. El Día 1 es la sesión de estrés: los 20 minutos completos se usan para inducir la desesperanza conductual. Lo que tiene valor científico para la comparación son los primeros 5 minutos del grupo control, que establecen la línea base antes del tratamiento.</w:t>
      </w:r>
    </w:p>
    <w:p>
      <w:pPr>
        <w:spacing w:before="40" w:after="40"/>
        <w:ind w:left="170"/>
      </w:pPr>
      <w:r>
        <w:rPr>
          <w:color w:val="1F497D"/>
          <w:sz w:val="22"/>
        </w:rPr>
        <w:t>El Dr. Sandino confirmó que el video principal que se analiza en todos los grupos es el del Día 2, que dura 5 minutos. Los 15 minutos restantes del Día 1 no aportan información diferencial —eso lo documentamos en el levantamiento de requisitos. Nuestro sistema puede procesar técnicamente un video de cualquier duración, pero generar datos que el investigador no va a usar tampoco es calidad.</w:t>
      </w:r>
    </w:p>
    <w:p>
      <w:pPr>
        <w:spacing w:before="240" w:after="60"/>
        <w:shd w:val="clear" w:color="auto" w:fill="FFF2CC"/>
      </w:pPr>
      <w:r>
        <w:rPr>
          <w:b/>
          <w:color w:val="7B001E"/>
          <w:sz w:val="22"/>
        </w:rPr>
        <w:t xml:space="preserve">  PREGUNTA 3  —  ~5 min</w:t>
      </w:r>
    </w:p>
    <w:p>
      <w:pPr>
        <w:spacing w:before="40" w:after="40"/>
        <w:ind w:left="170"/>
      </w:pPr>
      <w:r>
        <w:rPr>
          <w:b/>
          <w:color w:val="7B001E"/>
          <w:sz w:val="22"/>
        </w:rPr>
        <w:t xml:space="preserve">JURADO:  </w:t>
      </w:r>
      <w:r>
        <w:rPr>
          <w:i/>
          <w:color w:val="7B001E"/>
          <w:sz w:val="22"/>
        </w:rPr>
        <w:t>"En la literatura hay críticas serias al FST como modelo válido de depresión —se ha cuestionado su validez de constructo. Si el modelo experimental está en duda, ¿no están automatizando algo que la ciencia ya está descartando?"</w:t>
      </w:r>
    </w:p>
    <w:p>
      <w:pPr>
        <w:spacing w:before="40" w:after="40"/>
        <w:ind w:left="170"/>
      </w:pPr>
      <w:r>
        <w:rPr>
          <w:b/>
          <w:color w:val="C00000"/>
          <w:sz w:val="22"/>
        </w:rPr>
        <w:t xml:space="preserve">RESPUESTA (V):  </w:t>
      </w:r>
      <w:r>
        <w:rPr>
          <w:color w:val="C00000"/>
          <w:sz w:val="22"/>
        </w:rPr>
        <w:t>La validez del FST como modelo de depresión es un debate activo en la literatura. Pero ese debate no es el problema que nosotros resolvemos. El laboratorio del Dr. Sandino usa el FST hoy, tiene videos que analiza a mano, y ese proceso tiene costos reales.</w:t>
      </w:r>
    </w:p>
    <w:p>
      <w:pPr>
        <w:spacing w:before="40" w:after="40"/>
        <w:ind w:left="170"/>
      </w:pPr>
      <w:r>
        <w:rPr>
          <w:color w:val="C00000"/>
          <w:sz w:val="22"/>
        </w:rPr>
        <w:t>Dicho eso, la literatura reconoce al FST como un modelo con validez predictiva sólida: prácticamente todos los antidepresivos aprobados clínicamente reducen la inmovilidad —Cryan et al. 2005 y Slattery y Cryan 2012. Las críticas a su validez de constructo no invalidan su uso preclínico —conviven en la literatura. Nosotros lo documentamos en el marco teórico.</w:t>
      </w:r>
    </w:p>
    <w:p>
      <w:pPr>
        <w:spacing w:before="240" w:after="60"/>
        <w:shd w:val="clear" w:color="auto" w:fill="FFF2CC"/>
      </w:pPr>
      <w:r>
        <w:rPr>
          <w:b/>
          <w:color w:val="7B001E"/>
          <w:sz w:val="22"/>
        </w:rPr>
        <w:t xml:space="preserve">  PREGUNTA 4  —  ~6 min</w:t>
      </w:r>
    </w:p>
    <w:p>
      <w:pPr>
        <w:spacing w:before="40" w:after="40"/>
        <w:ind w:left="170"/>
      </w:pPr>
      <w:r>
        <w:rPr>
          <w:b/>
          <w:color w:val="7B001E"/>
          <w:sz w:val="22"/>
        </w:rPr>
        <w:t xml:space="preserve">JURADO:  </w:t>
      </w:r>
      <w:r>
        <w:rPr>
          <w:i/>
          <w:color w:val="7B001E"/>
          <w:sz w:val="22"/>
        </w:rPr>
        <w:t>"En sus RNF establecen F1 ≥ 85 % como criterio de aceptación. ¿De dónde viene ese 85 %? Si me dicen "lo dijo el Dr. Sandino", eso no es una justificación científica —una persona no puede definir un umbral estadístico a partir de su intuición."</w:t>
      </w:r>
    </w:p>
    <w:p>
      <w:pPr>
        <w:spacing w:before="40" w:after="40"/>
        <w:ind w:left="170"/>
      </w:pPr>
      <w:r>
        <w:rPr>
          <w:b/>
          <w:color w:val="1F497D"/>
          <w:sz w:val="22"/>
        </w:rPr>
        <w:t xml:space="preserve">RESPUESTA (A):  </w:t>
      </w:r>
      <w:r>
        <w:rPr>
          <w:color w:val="1F497D"/>
          <w:sz w:val="22"/>
        </w:rPr>
        <w:t>El origen del 85 % está documentado en la sección de justificación de umbrales del capítulo 4. No proviene de la intuición del Dr. Sandino, sino de su declaración sobre la variabilidad aceptada entre analistas humanos en el laboratorio —el nivel de acuerdo que dos evaluadores expertos logran cuando anotan el mismo video de forma independiente.</w:t>
      </w:r>
    </w:p>
    <w:p>
      <w:pPr>
        <w:spacing w:before="40" w:after="40"/>
        <w:ind w:left="170"/>
      </w:pPr>
      <w:r>
        <w:rPr>
          <w:color w:val="1F497D"/>
          <w:sz w:val="22"/>
        </w:rPr>
        <w:t>El sistema automatizado tiene que alcanzar al menos ese nivel de consistencia para ser útil como reemplazo del proceso manual. Lo documentamos como fuente de la entrevista de levantamiento. Reconocemos que en TT-II ese umbral deberá ajustarse con datos empíricos del conjunto de prueba real —no es un valor fijo definitivo, es el criterio de aceptación provisional. Así lo declaramos en el documento.</w:t>
      </w:r>
    </w:p>
    <w:p>
      <w:pPr>
        <w:spacing w:before="240" w:after="60"/>
        <w:shd w:val="clear" w:color="auto" w:fill="FFF2CC"/>
      </w:pPr>
      <w:r>
        <w:rPr>
          <w:b/>
          <w:color w:val="7B001E"/>
          <w:sz w:val="22"/>
        </w:rPr>
        <w:t xml:space="preserve">  PREGUNTA 5  —  ~5 min</w:t>
      </w:r>
    </w:p>
    <w:p>
      <w:pPr>
        <w:spacing w:before="40" w:after="40"/>
        <w:ind w:left="170"/>
      </w:pPr>
      <w:r>
        <w:rPr>
          <w:b/>
          <w:color w:val="7B001E"/>
          <w:sz w:val="22"/>
        </w:rPr>
        <w:t xml:space="preserve">JURADO:  </w:t>
      </w:r>
      <w:r>
        <w:rPr>
          <w:i/>
          <w:color w:val="7B001E"/>
          <w:sz w:val="22"/>
        </w:rPr>
        <w:t>"RN-13 dice que si el F1 no alcanza el 85 %, el sistema agrupa nado y escalamiento en "conducta activa". Pero si el sistema falla así, ¿no están entregando un producto defectuoso con una etiqueta de respaldo que lo hace parecer válido? ¿No es eso engañoso?"</w:t>
      </w:r>
    </w:p>
    <w:p>
      <w:pPr>
        <w:spacing w:before="40" w:after="40"/>
        <w:ind w:left="170"/>
      </w:pPr>
      <w:r>
        <w:rPr>
          <w:b/>
          <w:color w:val="C00000"/>
          <w:sz w:val="22"/>
        </w:rPr>
        <w:t xml:space="preserve">RESPUESTA (V):  </w:t>
      </w:r>
      <w:r>
        <w:rPr>
          <w:color w:val="C00000"/>
          <w:sz w:val="22"/>
        </w:rPr>
        <w:t>El fallback no oculta el fallo —lo documenta explícitamente en el reporte de diagnóstico. El investigador recibe el PDF con el nivel de confianza por clase y la nota de que se aplicó el fallback. La razón de incluirlo no es disimular un déficit: es garantizar que el experimento no quede completamente sin datos en condiciones difíciles.</w:t>
      </w:r>
    </w:p>
    <w:p>
      <w:pPr>
        <w:spacing w:before="40" w:after="40"/>
        <w:ind w:left="170"/>
      </w:pPr>
      <w:r>
        <w:rPr>
          <w:color w:val="C00000"/>
          <w:sz w:val="22"/>
        </w:rPr>
        <w:t>El fallback agrupa esas dos conductas en "conducta activa", que es exactamente lo que el protocolo original de Porsolt de 1977 medía: actividad versus inmovilidad. Eso tiene validez científica. El investigador puede decidir no usar ese resultado si la granularidad de tres clases es indispensable. Lo que garantizamos es que la decisión la toma con información completa, no a ciegas.</w:t>
      </w:r>
    </w:p>
    <w:p>
      <w:pPr>
        <w:spacing w:before="240" w:after="60"/>
        <w:shd w:val="clear" w:color="auto" w:fill="FFF2CC"/>
      </w:pPr>
      <w:r>
        <w:rPr>
          <w:b/>
          <w:color w:val="7B001E"/>
          <w:sz w:val="22"/>
        </w:rPr>
        <w:t xml:space="preserve">  PREGUNTA 6  —  ~5 min</w:t>
      </w:r>
    </w:p>
    <w:p>
      <w:pPr>
        <w:spacing w:before="40" w:after="40"/>
        <w:ind w:left="170"/>
      </w:pPr>
      <w:r>
        <w:rPr>
          <w:b/>
          <w:color w:val="7B001E"/>
          <w:sz w:val="22"/>
        </w:rPr>
        <w:t xml:space="preserve">JURADO:  </w:t>
      </w:r>
      <w:r>
        <w:rPr>
          <w:i/>
          <w:color w:val="7B001E"/>
          <w:sz w:val="22"/>
        </w:rPr>
        <w:t>"ByteTrack fue diseñado para seguimiento de personas en videos de vigilancia. ¿Tienen evidencia de que funciona con ratas en cilindros con agua? ¿O simplemente eligieron lo que estaba de moda?"</w:t>
      </w:r>
    </w:p>
    <w:p>
      <w:pPr>
        <w:spacing w:before="40" w:after="40"/>
        <w:ind w:left="170"/>
      </w:pPr>
      <w:r>
        <w:rPr>
          <w:b/>
          <w:color w:val="1F497D"/>
          <w:sz w:val="22"/>
        </w:rPr>
        <w:t xml:space="preserve">RESPUESTA (A):  </w:t>
      </w:r>
      <w:r>
        <w:rPr>
          <w:color w:val="1F497D"/>
          <w:sz w:val="22"/>
        </w:rPr>
        <w:t>ByteTrack fue elegido porque resuelve el problema específico que tenemos: asociar detecciones entre cuadros y mantener la identidad de cada rata durante oclusiones breves. Lo que lo distingue de SORT o DeepSORT es que usa todas las detecciones —incluyendo las de baja confianza— para la asociación, lo que reduce los saltos de identidad en situaciones ambiguas como el buceo o el pelaje claro.</w:t>
      </w:r>
    </w:p>
    <w:p>
      <w:pPr>
        <w:spacing w:before="40" w:after="40"/>
        <w:ind w:left="170"/>
      </w:pPr>
      <w:r>
        <w:rPr>
          <w:color w:val="1F497D"/>
          <w:sz w:val="22"/>
        </w:rPr>
        <w:t>Sobre si ByteTrack fue evaluado con ratas: no en los papers originales, es correcto. Por eso el plan de TT-II incluye pruebas con condiciones adversas específicamente para validar el módulo de seguimiento en nuestro contexto. Si no da los resultados esperados, la arquitectura modular permite reemplazarlo sin afectar los demás módulos.</w:t>
      </w:r>
    </w:p>
    <w:p>
      <w:pPr>
        <w:spacing w:before="240" w:after="60"/>
        <w:shd w:val="clear" w:color="auto" w:fill="FFF2CC"/>
      </w:pPr>
      <w:r>
        <w:rPr>
          <w:b/>
          <w:color w:val="7B001E"/>
          <w:sz w:val="22"/>
        </w:rPr>
        <w:t xml:space="preserve">  PREGUNTA 7  —  ~5 min</w:t>
      </w:r>
    </w:p>
    <w:p>
      <w:pPr>
        <w:spacing w:before="40" w:after="40"/>
        <w:ind w:left="170"/>
      </w:pPr>
      <w:r>
        <w:rPr>
          <w:b/>
          <w:color w:val="7B001E"/>
          <w:sz w:val="22"/>
        </w:rPr>
        <w:t xml:space="preserve">JURADO:  </w:t>
      </w:r>
      <w:r>
        <w:rPr>
          <w:i/>
          <w:color w:val="7B001E"/>
          <w:sz w:val="22"/>
        </w:rPr>
        <w:t>"Tienen 29 RF y 13 reglas de negocio. ¿Revisaron que no hay contradicciones? Porque RF-04 le dice al investigador que puede ver todos los experimentos, pero RF-09 dice que sube "su" video de "su" experimento —como si solo accediera a los suyos."</w:t>
      </w:r>
    </w:p>
    <w:p>
      <w:pPr>
        <w:spacing w:before="40" w:after="40"/>
        <w:ind w:left="170"/>
      </w:pPr>
      <w:r>
        <w:rPr>
          <w:b/>
          <w:color w:val="C00000"/>
          <w:sz w:val="22"/>
        </w:rPr>
        <w:t xml:space="preserve">RESPUESTA (V):  </w:t>
      </w:r>
      <w:r>
        <w:rPr>
          <w:color w:val="C00000"/>
          <w:sz w:val="22"/>
        </w:rPr>
        <w:t>La aparente ambigüedad tiene explicación directa. RF-04 define permisos de visibilidad: todos los investigadores pueden consultar todos los experimentos —decisión de RN-08, que responde al modelo colaborativo del laboratorio, donde los resultados son del grupo.</w:t>
      </w:r>
    </w:p>
    <w:p>
      <w:pPr>
        <w:spacing w:before="40" w:after="40"/>
        <w:ind w:left="170"/>
      </w:pPr>
      <w:r>
        <w:rPr>
          <w:color w:val="C00000"/>
          <w:sz w:val="22"/>
        </w:rPr>
        <w:t>RF-09 define la operación de carga: el investigador sube el video en el contexto de un experimento que él crea —eso define la autoría, no el acceso. Un investigador puede ver los experimentos de sus colegas, pero no crear ni modificar los ajenos. La separación entre autoría y visibilidad es explícita en RN-08. Verificamos la consistencia entre RF y RN durante el análisis, y los directores la revisaron.</w:t>
      </w:r>
    </w:p>
    <w:p>
      <w:pPr>
        <w:spacing w:before="240" w:after="60"/>
        <w:shd w:val="clear" w:color="auto" w:fill="FFF2CC"/>
      </w:pPr>
      <w:r>
        <w:rPr>
          <w:b/>
          <w:color w:val="7B001E"/>
          <w:sz w:val="22"/>
        </w:rPr>
        <w:t xml:space="preserve">  PREGUNTA 8  —  ~5 min</w:t>
      </w:r>
    </w:p>
    <w:p>
      <w:pPr>
        <w:spacing w:before="40" w:after="40"/>
        <w:ind w:left="170"/>
      </w:pPr>
      <w:r>
        <w:rPr>
          <w:b/>
          <w:color w:val="7B001E"/>
          <w:sz w:val="22"/>
        </w:rPr>
        <w:t xml:space="preserve">JURADO:  </w:t>
      </w:r>
      <w:r>
        <w:rPr>
          <w:i/>
          <w:color w:val="7B001E"/>
          <w:sz w:val="22"/>
        </w:rPr>
        <w:t>"Dicen que su sistema detecta cilindros con confianza mínima de 0.70. ¿Ese umbral lo validaron con datos reales o lo pusieron porque YOLOv8 usa 0.70 como default? Porque si es lo segundo, es un requerimiento copiado, no diseñado."</w:t>
      </w:r>
    </w:p>
    <w:p>
      <w:pPr>
        <w:spacing w:before="40" w:after="40"/>
        <w:ind w:left="170"/>
      </w:pPr>
      <w:r>
        <w:rPr>
          <w:b/>
          <w:color w:val="1F497D"/>
          <w:sz w:val="22"/>
        </w:rPr>
        <w:t xml:space="preserve">RESPUESTA (A):  </w:t>
      </w:r>
      <w:r>
        <w:rPr>
          <w:color w:val="1F497D"/>
          <w:sz w:val="22"/>
        </w:rPr>
        <w:t>El default de YOLOv8 en detección de objetos es 0.25, no 0.70. El 0.70 proviene de pruebas preliminares realizadas con los videos que el Dr. Sandino ya nos proporcionó.</w:t>
      </w:r>
    </w:p>
    <w:p>
      <w:pPr>
        <w:spacing w:before="40" w:after="40"/>
        <w:ind w:left="170"/>
      </w:pPr>
      <w:r>
        <w:rPr>
          <w:color w:val="1F497D"/>
          <w:sz w:val="22"/>
        </w:rPr>
        <w:t>Lo documentamos explícitamente como "valor provisional obtenido de pruebas preliminares" en la sección de justificación de umbrales del capítulo 4 —y aclaramos que no se extrae de la literatura general sobre YOLOv8 porque el contexto de esa literatura es detección de objetos en general, no cilindros transparentes en condiciones de laboratorio. El valor se ajustará con los videos reales durante TT-II.</w:t>
      </w:r>
    </w:p>
    <w:p>
      <w:pPr>
        <w:spacing w:before="240" w:after="60"/>
        <w:shd w:val="clear" w:color="auto" w:fill="FFF2CC"/>
      </w:pPr>
      <w:r>
        <w:rPr>
          <w:b/>
          <w:color w:val="7B001E"/>
          <w:sz w:val="22"/>
        </w:rPr>
        <w:t xml:space="preserve">  PREGUNTA 9  —  ~6 min</w:t>
      </w:r>
    </w:p>
    <w:p>
      <w:pPr>
        <w:spacing w:before="40" w:after="40"/>
        <w:ind w:left="170"/>
      </w:pPr>
      <w:r>
        <w:rPr>
          <w:b/>
          <w:color w:val="7B001E"/>
          <w:sz w:val="22"/>
        </w:rPr>
        <w:t xml:space="preserve">JURADO:  </w:t>
      </w:r>
      <w:r>
        <w:rPr>
          <w:i/>
          <w:color w:val="7B001E"/>
          <w:sz w:val="22"/>
        </w:rPr>
        <w:t>"Su sistema no actualiza el modelo si el laboratorio cambia de cámara. Eso está como fuera de scope. Pero si el laboratorio compra una nueva cámara en TT-II, su sistema deja de funcionar. ¿Están entregando un prototipo que caduca antes de la defensa?"</w:t>
      </w:r>
    </w:p>
    <w:p>
      <w:pPr>
        <w:spacing w:before="40" w:after="40"/>
        <w:ind w:left="170"/>
      </w:pPr>
      <w:r>
        <w:rPr>
          <w:b/>
          <w:color w:val="C00000"/>
          <w:sz w:val="22"/>
        </w:rPr>
        <w:t xml:space="preserve">RESPUESTA (V):  </w:t>
      </w:r>
      <w:r>
        <w:rPr>
          <w:color w:val="C00000"/>
          <w:sz w:val="22"/>
        </w:rPr>
        <w:t>La limitación de no reentrenarse automáticamente es una decisión de diseño explícita. El reentrenamiento automático requiere anotación continua y ciclo de actualización del modelo —eso es aprendizaje en línea, fuera del alcance de un prototipo académico en dos semestres.</w:t>
      </w:r>
    </w:p>
    <w:p>
      <w:pPr>
        <w:spacing w:before="40" w:after="40"/>
        <w:ind w:left="170"/>
      </w:pPr>
      <w:r>
        <w:rPr>
          <w:color w:val="C00000"/>
          <w:sz w:val="22"/>
        </w:rPr>
        <w:t>Lo que sí diseñamos es un pipeline modular donde el clasificador es un componente intercambiable —lo cubre RNF-11. Si el laboratorio cambia de cámara, ResNet-18 puede reentrenarse externamente y reemplazarse sin modificar la plataforma web. Los videos disponibles ya fueron grabados con la cámara actual; entrenaremos y evaluaremos con esos. Si hay un cambio de cámara, lo documentamos como variable que afecta el desempeño. Eso es honestidad científica, no una falla del diseño.</w:t>
      </w:r>
    </w:p>
    <w:p>
      <w:pPr>
        <w:spacing w:before="240" w:after="60"/>
        <w:shd w:val="clear" w:color="auto" w:fill="FFF2CC"/>
      </w:pPr>
      <w:r>
        <w:rPr>
          <w:b/>
          <w:color w:val="7B001E"/>
          <w:sz w:val="22"/>
        </w:rPr>
        <w:t xml:space="preserve">  PREGUNTA 10  —  ~5 min</w:t>
      </w:r>
    </w:p>
    <w:p>
      <w:pPr>
        <w:spacing w:before="40" w:after="40"/>
        <w:ind w:left="170"/>
      </w:pPr>
      <w:r>
        <w:rPr>
          <w:b/>
          <w:color w:val="7B001E"/>
          <w:sz w:val="22"/>
        </w:rPr>
        <w:t xml:space="preserve">JURADO:  </w:t>
      </w:r>
      <w:r>
        <w:rPr>
          <w:i/>
          <w:color w:val="7B001E"/>
          <w:sz w:val="22"/>
        </w:rPr>
        <w:t>"En conclusiones dicen que ninguna herramienta "tiene interfaz web". Pero EthoVision tiene una interfaz gráfica de escritorio muy completa —¿eso no cuenta? ¿Están redefiniendo "interfaz" para que su propuesta parezca más novedosa?"</w:t>
      </w:r>
    </w:p>
    <w:p>
      <w:pPr>
        <w:spacing w:before="40" w:after="40"/>
        <w:ind w:left="170"/>
      </w:pPr>
      <w:r>
        <w:rPr>
          <w:b/>
          <w:color w:val="1F497D"/>
          <w:sz w:val="22"/>
        </w:rPr>
        <w:t xml:space="preserve">RESPUESTA (A):  </w:t>
      </w:r>
      <w:r>
        <w:rPr>
          <w:color w:val="1F497D"/>
          <w:sz w:val="22"/>
        </w:rPr>
        <w:t>La distinción entre interfaz de escritorio e interfaz web es técnica, no retórica. Una interfaz de escritorio requiere instalar el software en cada computadora, con licencias por máquina y actualizaciones locales. Una interfaz web corre desde el navegador: el investigador accede desde cualquier equipo del laboratorio, desde su casa, o deja un análisis corriendo fuera del horario.</w:t>
      </w:r>
    </w:p>
    <w:p>
      <w:pPr>
        <w:spacing w:before="40" w:after="40"/>
        <w:ind w:left="170"/>
      </w:pPr>
      <w:r>
        <w:rPr>
          <w:color w:val="1F497D"/>
          <w:sz w:val="22"/>
        </w:rPr>
        <w:t>Para el laboratorio de la ENMyH, donde los investigadores comparten equipos y trabajan en horarios irregulares, esa diferencia es relevante —y la documentamos en la entrevista como requisito del Dr. Sandino. EthoVision también tiene costo de licencia fuera del alcance presupuestal del IPN. La brecha que identificamos es la combinación de tres factores simultáneos: tres conductas, sin licencia, y acceso web.</w:t>
      </w:r>
    </w:p>
    <w:p>
      <w:pPr>
        <w:spacing w:before="240" w:after="60"/>
        <w:shd w:val="clear" w:color="auto" w:fill="FFF2CC"/>
      </w:pPr>
      <w:r>
        <w:rPr>
          <w:b/>
          <w:color w:val="7B001E"/>
          <w:sz w:val="22"/>
        </w:rPr>
        <w:t xml:space="preserve">  PREGUNTA 11  —  ~5 min</w:t>
      </w:r>
    </w:p>
    <w:p>
      <w:pPr>
        <w:spacing w:before="40" w:after="40"/>
        <w:ind w:left="170"/>
      </w:pPr>
      <w:r>
        <w:rPr>
          <w:b/>
          <w:color w:val="7B001E"/>
          <w:sz w:val="22"/>
        </w:rPr>
        <w:t xml:space="preserve">JURADO:  </w:t>
      </w:r>
      <w:r>
        <w:rPr>
          <w:i/>
          <w:color w:val="7B001E"/>
          <w:sz w:val="22"/>
        </w:rPr>
        <w:t>"Mencionan NOM-062 varias veces. Pero el sistema no interactúa con los especímenes —solo analiza videos. ¿Por qué citan una norma que no aplica directamente? ¿Están inflando referencias?"</w:t>
      </w:r>
    </w:p>
    <w:p>
      <w:pPr>
        <w:spacing w:before="40" w:after="40"/>
        <w:ind w:left="170"/>
      </w:pPr>
      <w:r>
        <w:rPr>
          <w:b/>
          <w:color w:val="C00000"/>
          <w:sz w:val="22"/>
        </w:rPr>
        <w:t xml:space="preserve">RESPUESTA (V):  </w:t>
      </w:r>
      <w:r>
        <w:rPr>
          <w:color w:val="C00000"/>
          <w:sz w:val="22"/>
        </w:rPr>
        <w:t>Citamos la NOM-062 por contexto, no por cumplimiento directo. El sistema forma parte de un flujo de trabajo experimental que sí involucra ratas bajo esa norma. Necesitamos dejar claro el marco ético bajo el que se producen los videos que analizamos.</w:t>
      </w:r>
    </w:p>
    <w:p>
      <w:pPr>
        <w:spacing w:before="40" w:after="40"/>
        <w:ind w:left="170"/>
      </w:pPr>
      <w:r>
        <w:rPr>
          <w:color w:val="C00000"/>
          <w:sz w:val="22"/>
        </w:rPr>
        <w:t>La declaración en el alcance dice: "el laboratorio colaborador opera bajo esas disposiciones; este proyecto solo analiza los videos que resultan de los experimentos, sin intervenir en ningún procedimiento con los especímenes." Esa frase delimita el alcance de nuestra responsabilidad. En un trabajo terminal con material biológico, omitir esa referencia sería cuestionable; incluirla con esa aclaración es precisión, no inflación.</w:t>
      </w:r>
    </w:p>
    <w:p>
      <w:pPr>
        <w:spacing w:before="240" w:after="60"/>
        <w:shd w:val="clear" w:color="auto" w:fill="FFF2CC"/>
      </w:pPr>
      <w:r>
        <w:rPr>
          <w:b/>
          <w:color w:val="7B001E"/>
          <w:sz w:val="22"/>
        </w:rPr>
        <w:t xml:space="preserve">  PREGUNTA 12  —  ~5 min</w:t>
      </w:r>
    </w:p>
    <w:p>
      <w:pPr>
        <w:spacing w:before="40" w:after="40"/>
        <w:ind w:left="170"/>
      </w:pPr>
      <w:r>
        <w:rPr>
          <w:b/>
          <w:color w:val="7B001E"/>
          <w:sz w:val="22"/>
        </w:rPr>
        <w:t xml:space="preserve">JURADO:  </w:t>
      </w:r>
      <w:r>
        <w:rPr>
          <w:i/>
          <w:color w:val="7B001E"/>
          <w:sz w:val="22"/>
        </w:rPr>
        <w:t>"Dicen que el sistema estará disponible 24/7 con 95 % de uptime mensual. ¿Quién garantiza eso? Si el servidor de la ESCOM se cae, ¿su RNF-03 queda incumplido y su prototipo reprueba?"</w:t>
      </w:r>
    </w:p>
    <w:p>
      <w:pPr>
        <w:spacing w:before="40" w:after="40"/>
        <w:ind w:left="170"/>
      </w:pPr>
      <w:r>
        <w:rPr>
          <w:b/>
          <w:color w:val="1F497D"/>
          <w:sz w:val="22"/>
        </w:rPr>
        <w:t xml:space="preserve">RESPUESTA (A):  </w:t>
      </w:r>
      <w:r>
        <w:rPr>
          <w:color w:val="1F497D"/>
          <w:sz w:val="22"/>
        </w:rPr>
        <w:t>RNF-03 establece el objetivo de disponibilidad como criterio de diseño y criterio de evaluación en el entorno controlado de la validación —no como compromiso de disponibilidad en producción permanente.</w:t>
      </w:r>
    </w:p>
    <w:p>
      <w:pPr>
        <w:spacing w:before="40" w:after="40"/>
        <w:ind w:left="170"/>
      </w:pPr>
      <w:r>
        <w:rPr>
          <w:color w:val="1F497D"/>
          <w:sz w:val="22"/>
        </w:rPr>
        <w:t>La distinción es la misma que entre "el sistema fue diseñado para 99 usuarios" y "el sistema garantiza ese tráfico en producción": el primero es requerimiento de diseño, el segundo es contrato de servicio. El despliegue definitivo en la ESCOM está declarado explícitamente fuera del alcance del prototipo. Si la ESCOM tiene caídas fuera del período de evaluación, eso es una variable operativa del entorno —no una falla del diseño.</w:t>
      </w:r>
    </w:p>
    <w:p>
      <w:pPr>
        <w:spacing w:before="240" w:after="60"/>
        <w:shd w:val="clear" w:color="auto" w:fill="FFF2CC"/>
      </w:pPr>
      <w:r>
        <w:rPr>
          <w:b/>
          <w:color w:val="7B001E"/>
          <w:sz w:val="22"/>
        </w:rPr>
        <w:t xml:space="preserve">  PREGUNTA 13  —  ~3 min  —  PREGUNTA DE CIERRE</w:t>
      </w:r>
    </w:p>
    <w:p>
      <w:pPr>
        <w:spacing w:before="40" w:after="40"/>
        <w:ind w:left="170"/>
      </w:pPr>
      <w:r>
        <w:rPr>
          <w:b/>
          <w:color w:val="7B001E"/>
          <w:sz w:val="22"/>
        </w:rPr>
        <w:t xml:space="preserve">JURADO:  </w:t>
      </w:r>
      <w:r>
        <w:rPr>
          <w:i/>
          <w:color w:val="7B001E"/>
          <w:sz w:val="22"/>
        </w:rPr>
        <w:t>"¿Por qué debería el laboratorio confiar en el resultado de su sistema en lugar de seguir haciéndolo a mano? ¿Qué garantía científica real le dan al Dr. Sandino?"</w:t>
      </w:r>
    </w:p>
    <w:p>
      <w:pPr>
        <w:spacing w:before="40" w:after="40"/>
        <w:ind w:left="170"/>
      </w:pPr>
      <w:r>
        <w:rPr>
          <w:b/>
          <w:color w:val="C00000"/>
          <w:sz w:val="22"/>
        </w:rPr>
        <w:t xml:space="preserve">RESPUESTA (V):  </w:t>
      </w:r>
      <w:r>
        <w:rPr>
          <w:color w:val="C00000"/>
          <w:sz w:val="22"/>
        </w:rPr>
        <w:t>Le damos tres garantías. La primera es la reproducibilidad: el sistema produce exactamente el mismo resultado para el mismo video cada vez. Si hay error, es el mismo error en todos los casos —documentable y corregible, no aleatorio. Eso es cualitativamente mejor que la variabilidad entre evaluadores que hoy existe.</w:t>
      </w:r>
    </w:p>
    <w:p>
      <w:pPr>
        <w:spacing w:before="40" w:after="40"/>
        <w:ind w:left="170"/>
      </w:pPr>
      <w:r>
        <w:rPr>
          <w:color w:val="C00000"/>
          <w:sz w:val="22"/>
        </w:rPr>
        <w:t>La segunda es la trazabilidad: el sistema genera un reporte de diagnóstico con el nivel de confianza por espécimen y sesión, más el video anotado donde el Dr. Sandino puede revisar cuadro a cuadro qué clasificó el sistema.</w:t>
      </w:r>
    </w:p>
    <w:p>
      <w:pPr>
        <w:spacing w:before="40" w:after="40"/>
        <w:ind w:left="170"/>
      </w:pPr>
      <w:r>
        <w:rPr>
          <w:color w:val="C00000"/>
          <w:sz w:val="22"/>
        </w:rPr>
        <w:t>La tercera es la métrica de aceptación: F1 ≥ 85 % se evaluará sobre un conjunto de prueba con videos que el Dr. Sandino conoce. Si no se alcanza, reportamos y aplicamos el fallback. No le pedimos confianza ciega —le pedimos que evalúe el sistema con sus propios datos. Esa es la validación de TT-II.</w:t>
      </w:r>
    </w:p>
    <w:p>
      <w:pPr>
        <w:spacing w:before="160" w:after="80"/>
        <w:ind w:left="170"/>
      </w:pPr>
      <w:r>
        <w:rPr>
          <w:b/>
          <w:color w:val="1F497D"/>
          <w:sz w:val="22"/>
        </w:rPr>
        <w:t xml:space="preserve">(A):  </w:t>
      </w:r>
      <w:r>
        <w:rPr>
          <w:color w:val="1F497D"/>
          <w:sz w:val="22"/>
        </w:rPr>
        <w:t>Eso es todo de nuestra parte. Muchas gracias.</w:t>
      </w:r>
    </w:p>
    <w:p>
      <w:r>
        <w:br w:type="page"/>
      </w:r>
    </w:p>
    <w:p>
      <w:pPr>
        <w:spacing w:before="240" w:after="80"/>
        <w:shd w:val="clear" w:color="auto" w:fill="1F3864"/>
      </w:pPr>
      <w:r>
        <w:rPr>
          <w:b/>
          <w:color w:val="FFFFFF"/>
          <w:sz w:val="24"/>
        </w:rPr>
        <w:t xml:space="preserve">  APÉNDICE — Respuestas de respaldo para profundización del jurado</w:t>
      </w:r>
    </w:p>
    <w:p>
      <w:pPr>
        <w:spacing w:before="80" w:after="80"/>
        <w:shd w:val="clear" w:color="auto" w:fill="F2F2F2"/>
        <w:ind w:left="170"/>
      </w:pPr>
      <w:r>
        <w:rPr>
          <w:i/>
          <w:color w:val="595959"/>
          <w:sz w:val="20"/>
        </w:rPr>
        <w:t>Aplican si el jurado profundiza en decisiones de stack o arquitectura no cubiertas explícitamente en los slides.</w:t>
      </w:r>
    </w:p>
    <w:p/>
    <w:p>
      <w:pPr>
        <w:spacing w:before="160" w:after="40"/>
      </w:pPr>
      <w:r>
        <w:rPr>
          <w:b/>
          <w:color w:val="1F3864"/>
          <w:sz w:val="22"/>
        </w:rPr>
        <w:t>¿Por qué Flask y no FastAPI?</w:t>
      </w:r>
    </w:p>
    <w:p>
      <w:pPr>
        <w:spacing w:before="20" w:after="60"/>
        <w:ind w:left="283"/>
      </w:pPr>
      <w:r>
        <w:rPr>
          <w:sz w:val="22"/>
        </w:rPr>
        <w:t>Flask fue elegido por familiaridad del equipo y por el ecosistema de extensiones —Flask-JWT-Extended, Flask-SQLAlchemy, Flask-Celery— que reducen el tiempo de desarrollo. FastAPI tiene ventajas en rendimiento asíncrono, pero la diferencia no es crítica para máximo cuatro usuarios simultáneos. La migración a FastAPI es posible porque los contratos de la API REST no cambian.</w:t>
      </w:r>
    </w:p>
    <w:p>
      <w:pPr>
        <w:spacing w:before="160" w:after="40"/>
      </w:pPr>
      <w:r>
        <w:rPr>
          <w:b/>
          <w:color w:val="1F3864"/>
          <w:sz w:val="22"/>
        </w:rPr>
        <w:t>¿Por qué ResNet-18 y no ResNet-50 o ViT?</w:t>
      </w:r>
    </w:p>
    <w:p>
      <w:pPr>
        <w:spacing w:before="20" w:after="60"/>
        <w:ind w:left="283"/>
      </w:pPr>
      <w:r>
        <w:rPr>
          <w:sz w:val="22"/>
        </w:rPr>
        <w:t>ResNet-18 es la arquitectura más ligera que puede correr en CPU en tiempos razonables. ResNet-50 es el fallback del segundo nivel del clasificador —cuando ResNet-18 no alcanza la confianza mínima. Los Vision Transformers requieren datasets más grandes para transfer learning efectivo; con el volumen del laboratorio, ResNet-18 es más apropiada.</w:t>
      </w:r>
    </w:p>
    <w:p>
      <w:pPr>
        <w:spacing w:before="160" w:after="40"/>
      </w:pPr>
      <w:r>
        <w:rPr>
          <w:b/>
          <w:color w:val="1F3864"/>
          <w:sz w:val="22"/>
        </w:rPr>
        <w:t>¿Cuántos videos tienen del Dr. Sandino?</w:t>
      </w:r>
    </w:p>
    <w:p>
      <w:pPr>
        <w:spacing w:before="20" w:after="60"/>
        <w:ind w:left="283"/>
      </w:pPr>
      <w:r>
        <w:rPr>
          <w:sz w:val="22"/>
        </w:rPr>
        <w:t>Ya contamos con un conjunto de videos del laboratorio. El número exacto de clips anotados para entrenamiento se definirá en la fase de curación de datos en TT-II —la anotación con BORIS está en el cronograma de Vanesa de julio a agosto.</w:t>
      </w:r>
    </w:p>
    <w:p>
      <w:pPr>
        <w:spacing w:before="160" w:after="40"/>
      </w:pPr>
      <w:r>
        <w:rPr>
          <w:b/>
          <w:color w:val="1F3864"/>
          <w:sz w:val="22"/>
        </w:rPr>
        <w:t>¿Por qué PostgreSQL y no MySQL o MongoDB?</w:t>
      </w:r>
    </w:p>
    <w:p>
      <w:pPr>
        <w:spacing w:before="20" w:after="60"/>
        <w:ind w:left="283"/>
      </w:pPr>
      <w:r>
        <w:rPr>
          <w:sz w:val="22"/>
        </w:rPr>
        <w:t>PostgreSQL ofrece integridad referencial estricta (ACID), relevante para una base de datos de resultados científicos. MongoDB sería apropiado si la estructura de datos fuera variable —en nuestro caso los datos son tabulares y altamente estructurados.</w:t>
      </w:r>
    </w:p>
    <w:p>
      <w:pPr>
        <w:spacing w:before="160" w:after="40"/>
      </w:pPr>
      <w:r>
        <w:rPr>
          <w:b/>
          <w:color w:val="1F3864"/>
          <w:sz w:val="22"/>
        </w:rPr>
        <w:t>¿Por qué solo MP4?</w:t>
      </w:r>
    </w:p>
    <w:p>
      <w:pPr>
        <w:spacing w:before="20" w:after="60"/>
        <w:ind w:left="283"/>
      </w:pPr>
      <w:r>
        <w:rPr>
          <w:sz w:val="22"/>
        </w:rPr>
        <w:t>MP4 con codec H.264 es el formato más compatible entre cámaras de celular —que es lo que usa el laboratorio— y OpenCV VideoCapture. Restringir a MP4 reduce la superficie de errores en la validación del archivo subido.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