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Adaptaciones al Pipeline</w:t>
        <w:br/>
        <w:t>scanpy + pySCENIC</w:t>
      </w:r>
    </w:p>
    <w:p/>
    <w:p>
      <w:pPr>
        <w:jc w:val="center"/>
      </w:pPr>
      <w:r>
        <w:rPr>
          <w:color w:val="2E5F9A"/>
          <w:sz w:val="34"/>
        </w:rPr>
        <w:t>respecto a los Tutoriales Originales</w:t>
      </w:r>
    </w:p>
    <w:p/>
    <w:p>
      <w:pPr>
        <w:jc w:val="center"/>
      </w:pPr>
      <w:r>
        <w:rPr>
          <w:i/>
          <w:color w:val="444444"/>
          <w:sz w:val="24"/>
        </w:rPr>
        <w:t>Guía técnica detallada para entender qué cambió en el código,</w:t>
        <w:br/>
        <w:t>por qué fue necesario el cambio y cómo se resolvió.</w:t>
        <w:br/>
        <w:br/>
        <w:t>Escrita para lectores con formación en bioquímica</w:t>
        <w:br/>
        <w:t>sin experiencia previa en programación Python.</w:t>
      </w:r>
    </w:p>
    <w:p/>
    <w:p/>
    <w:p>
      <w:pPr>
        <w:jc w:val="center"/>
      </w:pPr>
      <w:r>
        <w:rPr>
          <w:color w:val="888888"/>
          <w:sz w:val="22"/>
        </w:rPr>
        <w:t>Junio 2026</w:t>
      </w:r>
    </w:p>
    <w:p>
      <w:r>
        <w:br w:type="page"/>
      </w:r>
    </w:p>
    <w:p>
      <w:pPr>
        <w:pStyle w:val="Heading1"/>
        <w:spacing w:before="360" w:after="120"/>
        <w:jc w:val="left"/>
      </w:pPr>
      <w:r>
        <w:rPr>
          <w:b/>
          <w:color w:val="1F3864"/>
          <w:sz w:val="36"/>
        </w:rPr>
        <w:t>1.  Cómo leer este documento</w:t>
      </w:r>
    </w:p>
    <w:p>
      <w:pPr>
        <w:pBdr>
          <w:bottom w:val="single" w:sz="6" w:space="1" w:color="AAAAAA"/>
        </w:pBdr>
        <w:spacing w:after="160"/>
      </w:pPr>
    </w:p>
    <w:p>
      <w:pPr>
        <w:spacing w:after="140" w:before="0"/>
      </w:pPr>
      <w:r>
        <w:rPr>
          <w:sz w:val="21"/>
        </w:rPr>
        <w:t>Este documento está escrito para alguien que conoce perfectamente la biología del pipeline — qué hace el QC celular, por qué se normalizan los conteos, qué es un regulón, qué mide AUCell — pero que nunca ha escrito código Python y no sabe qué es un paquete, una dependencia o una API.</w:t>
      </w:r>
    </w:p>
    <w:p>
      <w:pPr>
        <w:spacing w:after="140" w:before="0"/>
      </w:pPr>
      <w:r>
        <w:rPr>
          <w:sz w:val="21"/>
        </w:rPr>
        <w:t>El objetivo no es enseñar Python. El objetivo es que puedas responder con seguridad a estas preguntas cuando presentes el proyecto:</w:t>
      </w:r>
    </w:p>
    <w:p>
      <w:pPr>
        <w:pStyle w:val="ListBullet"/>
        <w:spacing w:after="60"/>
      </w:pPr>
      <w:r>
        <w:rPr>
          <w:sz w:val="21"/>
        </w:rPr>
        <w:t>¿Por qué el script 02 no usa arboreto como dice el tutorial original?</w:t>
      </w:r>
    </w:p>
    <w:p>
      <w:pPr>
        <w:pStyle w:val="ListBullet"/>
        <w:spacing w:after="60"/>
      </w:pPr>
      <w:r>
        <w:rPr>
          <w:sz w:val="21"/>
        </w:rPr>
        <w:t>¿Los resultados de GRNBoost2 son los mismos que en el protocolo SCENIC?</w:t>
      </w:r>
    </w:p>
    <w:p>
      <w:pPr>
        <w:pStyle w:val="ListBullet"/>
        <w:spacing w:after="60"/>
      </w:pPr>
      <w:r>
        <w:rPr>
          <w:sz w:val="21"/>
        </w:rPr>
        <w:t>¿Por qué cisTarget devuelve cero regulones con el dataset de prueba?</w:t>
      </w:r>
    </w:p>
    <w:p>
      <w:pPr>
        <w:pStyle w:val="ListBullet"/>
        <w:spacing w:after="60"/>
      </w:pPr>
      <w:r>
        <w:rPr>
          <w:sz w:val="21"/>
        </w:rPr>
        <w:t>¿Qué es eso del 'fallback' que menciona el reporte?</w:t>
      </w:r>
    </w:p>
    <w:p>
      <w:pPr>
        <w:pStyle w:val="ListBullet"/>
        <w:spacing w:after="60"/>
      </w:pPr>
      <w:r>
        <w:rPr>
          <w:sz w:val="21"/>
        </w:rPr>
        <w:t>¿El formato h5ad contiene los mismos datos que el loom del tutorial?</w:t>
      </w:r>
    </w:p>
    <w:p/>
    <w:p>
      <w:pPr>
        <w:spacing w:after="140" w:before="0"/>
      </w:pPr>
      <w:r>
        <w:rPr>
          <w:sz w:val="21"/>
        </w:rPr>
        <w:t>Cada cambio está documentado con cuatro elementos: (1) qué dice el tutorial original, (2) qué error o problema aparece con las versiones actuales, (3) qué código nuevo lo reemplaza, y (4) qué impacto tiene en el resultado biológico.</w:t>
      </w:r>
    </w:p>
    <w:p>
      <w:pPr>
        <w:spacing w:after="140" w:before="0"/>
      </w:pPr>
      <w:r>
        <w:rPr>
          <w:sz w:val="21"/>
        </w:rPr>
        <w:t>Los bloques de código aparecen en cajas con fondo azul claro. Las líneas que empiezan con # son comentarios explicativos — no se ejecutan, solo explican qué hace la línea siguiente:</w:t>
      </w:r>
    </w:p>
    <w:p>
      <w:pPr>
        <w:spacing w:after="20" w:before="160"/>
      </w:pPr>
      <w:r>
        <w:rPr>
          <w:b/>
          <w:color w:val="334477"/>
          <w:sz w:val="18"/>
        </w:rPr>
        <w:t xml:space="preserve">  ▶  Ejemplo: cómo leer un bloque de código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Esto es un comentario — explica el código pero Python lo ignora</w:t>
            </w:r>
          </w:p>
          <w:p>
            <w:pPr>
              <w:spacing w:before="0" w:after="0"/>
            </w:pPr>
            <w:r>
              <w:rPr>
                <w:rFonts w:ascii="Courier New" w:hAnsi="Courier New"/>
                <w:color w:val="1A1A55"/>
                <w:sz w:val="18"/>
              </w:rPr>
              <w:t>import scanpy as sc          # Cargar la librería scanpy</w:t>
            </w:r>
          </w:p>
          <w:p>
            <w:pPr>
              <w:spacing w:before="0" w:after="0"/>
            </w:pPr>
            <w:r>
              <w:rPr>
                <w:rFonts w:ascii="Courier New" w:hAnsi="Courier New"/>
                <w:color w:val="1A1A55"/>
                <w:sz w:val="18"/>
              </w:rPr>
              <w:t>sc.pp.normalize_total(adata) # Normalizar los conteos de cada célula</w:t>
            </w:r>
          </w:p>
          <w:p>
            <w:pPr>
              <w:spacing w:before="0" w:after="0"/>
            </w:pPr>
            <w:r>
              <w:rPr>
                <w:rFonts w:ascii="Courier New" w:hAnsi="Courier New"/>
                <w:color w:val="1A1A55"/>
                <w:sz w:val="18"/>
              </w:rPr>
              <w:t>sc.pp.log1p(adata)           # Aplicar transformación logarítmica</w:t>
            </w:r>
          </w:p>
        </w:tc>
      </w:tr>
    </w:tbl>
    <w:p>
      <w:pPr>
        <w:spacing w:after="120"/>
      </w:pPr>
    </w:p>
    <w:p>
      <w:pPr>
        <w:spacing w:after="140" w:before="0"/>
      </w:pPr>
      <w:r>
        <w:rPr>
          <w:sz w:val="21"/>
        </w:rPr>
        <w:t>Las tablas de dos columnas con fondo rojo/verde muestran el código original (izquierda, rojo = lo que ya no funciona) frente al código nuevo (derecha, verde = lo que usamos).</w:t>
      </w:r>
    </w:p>
    <w:p>
      <w:r>
        <w:br w:type="page"/>
      </w:r>
    </w:p>
    <w:p>
      <w:pPr>
        <w:pStyle w:val="Heading1"/>
        <w:spacing w:before="360" w:after="120"/>
        <w:jc w:val="left"/>
      </w:pPr>
      <w:r>
        <w:rPr>
          <w:b/>
          <w:color w:val="1F3864"/>
          <w:sz w:val="36"/>
        </w:rPr>
        <w:t>2.  Conceptos de Python que necesitas conocer</w:t>
      </w:r>
    </w:p>
    <w:p>
      <w:pPr>
        <w:pBdr>
          <w:bottom w:val="single" w:sz="6" w:space="1" w:color="AAAAAA"/>
        </w:pBdr>
        <w:spacing w:after="160"/>
      </w:pPr>
    </w:p>
    <w:p>
      <w:pPr>
        <w:spacing w:after="140" w:before="0"/>
      </w:pPr>
      <w:r>
        <w:rPr>
          <w:sz w:val="21"/>
        </w:rPr>
        <w:t>Esta sección explica los conceptos de programación que aparecen repetidamente en el resto del documento. No es necesario memorizarlos; está aquí como referencia para cuando encuentres un término desconocido.</w:t>
      </w:r>
    </w:p>
    <w:p>
      <w:pPr>
        <w:pStyle w:val="Heading2"/>
        <w:spacing w:before="240" w:after="120"/>
        <w:jc w:val="left"/>
      </w:pPr>
      <w:r>
        <w:rPr>
          <w:b/>
          <w:color w:val="2E5F9A"/>
          <w:sz w:val="28"/>
        </w:rPr>
        <w:t>2.1  Paquete (librería)</w:t>
      </w:r>
    </w:p>
    <w:p>
      <w:pPr>
        <w:spacing w:after="140" w:before="0"/>
      </w:pPr>
      <w:r>
        <w:rPr>
          <w:sz w:val="21"/>
        </w:rPr>
        <w:t>Un paquete es un conjunto de funciones escritas por otra persona que puedes reutilizar. Python viene con muy poco incluido por defecto; casi todo lo útil en ciencia de datos y bioinformática viene de paquetes externos que hay que instalar.</w:t>
      </w:r>
    </w:p>
    <w:tbl>
      <w:tblPr>
        <w:tblStyle w:val="TableGrid"/>
        <w:tblW w:type="auto" w:w="0"/>
        <w:tblLook w:firstColumn="1" w:firstRow="1" w:lastColumn="0" w:lastRow="0" w:noHBand="0" w:noVBand="1" w:val="04A0"/>
      </w:tblPr>
      <w:tblGrid>
        <w:gridCol w:w="9122"/>
      </w:tblGrid>
      <w:tr>
        <w:tc>
          <w:tcPr>
            <w:tcW w:type="dxa" w:w="9122"/>
            <w:shd w:val="clear" w:color="auto" w:fill="FFF8E1"/>
            <w:tcBorders>
              <w:top w:val="single" w:sz="8" w:space="0" w:color="B7860B"/>
              <w:left w:val="single" w:sz="8" w:space="0" w:color="B7860B"/>
              <w:bottom w:val="single" w:sz="8" w:space="0" w:color="B7860B"/>
              <w:right w:val="single" w:sz="8" w:space="0" w:color="B7860B"/>
            </w:tcBorders>
            <w:tcMar>
              <w:top w:w="100" w:type="dxa"/>
              <w:left w:w="100" w:type="dxa"/>
              <w:bottom w:w="100" w:type="dxa"/>
              <w:right w:w="100" w:type="dxa"/>
            </w:tcMar>
          </w:tcPr>
          <w:p>
            <w:pPr>
              <w:spacing w:before="60" w:after="60"/>
            </w:pPr>
            <w:r>
              <w:rPr>
                <w:b w:val="0"/>
                <w:color w:val="1A1A44"/>
                <w:sz w:val="20"/>
              </w:rPr>
              <w:t>💡  Analogía:  Un paquete de Python es como un kit de reactivos de un proveedor: no fabricas el anticuerpo tú mismo, solo lo pides, lo recibes y lo usas. Instalar un paquete = pedir el kit al proveedor. Importar el paquete = sacar el kit del freezer y ponerlo en la mesa de trabajo.</w:t>
            </w:r>
          </w:p>
        </w:tc>
      </w:tr>
    </w:tbl>
    <w:p>
      <w:pPr>
        <w:spacing w:after="120"/>
      </w:pPr>
    </w:p>
    <w:p>
      <w:pPr>
        <w:spacing w:after="20" w:before="160"/>
      </w:pPr>
      <w:r>
        <w:rPr>
          <w:b/>
          <w:color w:val="334477"/>
          <w:sz w:val="18"/>
        </w:rPr>
        <w:t xml:space="preserve">  ▶  Instalar e importar paquetes</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Instalar un paquete (se hace una sola vez, en la terminal):</w:t>
            </w:r>
          </w:p>
          <w:p>
            <w:pPr>
              <w:spacing w:before="0" w:after="0"/>
            </w:pPr>
            <w:r>
              <w:rPr>
                <w:rFonts w:ascii="Courier New" w:hAnsi="Courier New"/>
                <w:color w:val="1A1A55"/>
                <w:sz w:val="18"/>
              </w:rPr>
              <w:t>pip install scanpy</w:t>
            </w:r>
          </w:p>
          <w:p>
            <w:pPr>
              <w:spacing w:before="0" w:after="0"/>
            </w:pPr>
            <w:r>
              <w:rPr>
                <w:rFonts w:ascii="Courier New" w:hAnsi="Courier New"/>
                <w:color w:val="1A1A55"/>
                <w:sz w:val="18"/>
              </w:rPr>
              <w:t>pip install pyscenic</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Importar un paquete (se hace al inicio de cada script):</w:t>
            </w:r>
          </w:p>
          <w:p>
            <w:pPr>
              <w:spacing w:before="0" w:after="0"/>
            </w:pPr>
            <w:r>
              <w:rPr>
                <w:rFonts w:ascii="Courier New" w:hAnsi="Courier New"/>
                <w:color w:val="1A1A55"/>
                <w:sz w:val="18"/>
              </w:rPr>
              <w:t>import scanpy as sc      # 'as sc' = abreviatura para escribir sc en vez de scanpy</w:t>
            </w:r>
          </w:p>
          <w:p>
            <w:pPr>
              <w:spacing w:before="0" w:after="0"/>
            </w:pPr>
            <w:r>
              <w:rPr>
                <w:rFonts w:ascii="Courier New" w:hAnsi="Courier New"/>
                <w:color w:val="1A1A55"/>
                <w:sz w:val="18"/>
              </w:rPr>
              <w:t>import pyscenic</w:t>
            </w:r>
          </w:p>
          <w:p>
            <w:pPr>
              <w:spacing w:before="0" w:after="0"/>
            </w:pPr>
            <w:r>
              <w:rPr>
                <w:rFonts w:ascii="Courier New" w:hAnsi="Courier New"/>
                <w:color w:val="1A1A55"/>
                <w:sz w:val="18"/>
              </w:rPr>
              <w:t>import pandas as pd      # pandas = el Excel de Python</w:t>
            </w:r>
          </w:p>
          <w:p>
            <w:pPr>
              <w:spacing w:before="0" w:after="0"/>
            </w:pPr>
            <w:r>
              <w:rPr>
                <w:rFonts w:ascii="Courier New" w:hAnsi="Courier New"/>
                <w:color w:val="1A1A55"/>
                <w:sz w:val="18"/>
              </w:rPr>
              <w:t>import numpy as np       # numpy = cálculo numérico</w:t>
            </w:r>
          </w:p>
        </w:tc>
      </w:tr>
    </w:tbl>
    <w:p>
      <w:pPr>
        <w:spacing w:after="120"/>
      </w:pPr>
    </w:p>
    <w:p>
      <w:pPr>
        <w:pStyle w:val="Heading2"/>
        <w:spacing w:before="240" w:after="120"/>
        <w:jc w:val="left"/>
      </w:pPr>
      <w:r>
        <w:rPr>
          <w:b/>
          <w:color w:val="2E5F9A"/>
          <w:sz w:val="28"/>
        </w:rPr>
        <w:t>2.2  Dependencia</w:t>
      </w:r>
    </w:p>
    <w:p>
      <w:pPr>
        <w:spacing w:after="140" w:before="0"/>
      </w:pPr>
      <w:r>
        <w:rPr>
          <w:sz w:val="21"/>
        </w:rPr>
        <w:t>Una dependencia es un paquete que otro paquete necesita para funcionar. Por ejemplo, pySCENIC necesita a arboreto, y arboreto necesita a dask. Si dask cambia su código interno de forma incompatible, arboreto deja de funcionar, y por ende pySCENIC también — aunque tú no hayas cambiado nada.</w:t>
      </w:r>
    </w:p>
    <w:tbl>
      <w:tblPr>
        <w:tblStyle w:val="TableGrid"/>
        <w:tblW w:type="auto" w:w="0"/>
        <w:tblLook w:firstColumn="1" w:firstRow="1" w:lastColumn="0" w:lastRow="0" w:noHBand="0" w:noVBand="1" w:val="04A0"/>
      </w:tblPr>
      <w:tblGrid>
        <w:gridCol w:w="9122"/>
      </w:tblGrid>
      <w:tr>
        <w:tc>
          <w:tcPr>
            <w:tcW w:type="dxa" w:w="9122"/>
            <w:shd w:val="clear" w:color="auto" w:fill="FFF8E1"/>
            <w:tcBorders>
              <w:top w:val="single" w:sz="8" w:space="0" w:color="B7860B"/>
              <w:left w:val="single" w:sz="8" w:space="0" w:color="B7860B"/>
              <w:bottom w:val="single" w:sz="8" w:space="0" w:color="B7860B"/>
              <w:right w:val="single" w:sz="8" w:space="0" w:color="B7860B"/>
            </w:tcBorders>
            <w:tcMar>
              <w:top w:w="100" w:type="dxa"/>
              <w:left w:w="100" w:type="dxa"/>
              <w:bottom w:w="100" w:type="dxa"/>
              <w:right w:w="100" w:type="dxa"/>
            </w:tcMar>
          </w:tcPr>
          <w:p>
            <w:pPr>
              <w:spacing w:before="60" w:after="60"/>
            </w:pPr>
            <w:r>
              <w:rPr>
                <w:b w:val="0"/>
                <w:color w:val="1A1A44"/>
                <w:sz w:val="20"/>
              </w:rPr>
              <w:t>💡  Analogía:  Imagina que tu protocolo de western blot usa un anticuerpo secundario de un proveedor específico. El anticuerpo a su vez depende de que el proveedor use el mismo lote de proteína carrier. Si el proveedor cambia el carrier sin avisar, tu protocolo puede dar resultados diferentes o directamente no funcionar, aunque tú no modificaste nada.</w:t>
            </w:r>
          </w:p>
        </w:tc>
      </w:tr>
    </w:tbl>
    <w:p>
      <w:pPr>
        <w:spacing w:after="120"/>
      </w:pPr>
    </w:p>
    <w:p>
      <w:pPr>
        <w:spacing w:after="140" w:before="0"/>
      </w:pPr>
      <w:r>
        <w:rPr>
          <w:sz w:val="21"/>
        </w:rPr>
        <w:t>El árbol de dependencias del problema central de este proyecto es:</w:t>
      </w:r>
    </w:p>
    <w:p>
      <w:pPr>
        <w:spacing w:after="20" w:before="160"/>
      </w:pPr>
      <w:r>
        <w:rPr>
          <w:b/>
          <w:color w:val="334477"/>
          <w:sz w:val="18"/>
        </w:rPr>
        <w:t xml:space="preserve">  ▶  Árbol de dependencias del problema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pySCENIC (el paquete que usamos)</w:t>
            </w:r>
          </w:p>
          <w:p>
            <w:pPr>
              <w:spacing w:before="0" w:after="0"/>
            </w:pPr>
            <w:r>
              <w:rPr>
                <w:rFonts w:ascii="Courier New" w:hAnsi="Courier New"/>
                <w:color w:val="1A1A55"/>
                <w:sz w:val="18"/>
              </w:rPr>
              <w:t xml:space="preserve">  └── arboreto  (para GRNBoost2)</w:t>
            </w:r>
          </w:p>
          <w:p>
            <w:pPr>
              <w:spacing w:before="0" w:after="0"/>
            </w:pPr>
            <w:r>
              <w:rPr>
                <w:rFonts w:ascii="Courier New" w:hAnsi="Courier New"/>
                <w:color w:val="1A1A55"/>
                <w:sz w:val="18"/>
              </w:rPr>
              <w:t xml:space="preserve">        └── dask  (para paralelizar)</w:t>
            </w:r>
          </w:p>
          <w:p>
            <w:pPr>
              <w:spacing w:before="0" w:after="0"/>
            </w:pPr>
            <w:r>
              <w:rPr>
                <w:rFonts w:ascii="Courier New" w:hAnsi="Courier New"/>
                <w:color w:val="1A1A55"/>
                <w:sz w:val="18"/>
              </w:rPr>
              <w:t xml:space="preserve">              └── dask.dataframe.multi  ← esta parte fue ELIMINADA de dask en 2024</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Resultado: pySCENIC → arboreto → dask → ERROR</w:t>
            </w:r>
          </w:p>
        </w:tc>
      </w:tr>
    </w:tbl>
    <w:p>
      <w:pPr>
        <w:spacing w:after="120"/>
      </w:pPr>
    </w:p>
    <w:p>
      <w:pPr>
        <w:pStyle w:val="Heading2"/>
        <w:spacing w:before="240" w:after="120"/>
        <w:jc w:val="left"/>
      </w:pPr>
      <w:r>
        <w:rPr>
          <w:b/>
          <w:color w:val="2E5F9A"/>
          <w:sz w:val="28"/>
        </w:rPr>
        <w:t>2.3  API vs CLI</w:t>
      </w:r>
    </w:p>
    <w:p>
      <w:pPr>
        <w:spacing w:after="140" w:before="0"/>
      </w:pPr>
      <w:r>
        <w:rPr>
          <w:sz w:val="21"/>
        </w:rPr>
        <w:t>Hay dos formas de usar una herramienta de software:</w:t>
      </w:r>
    </w:p>
    <w:p>
      <w:pPr>
        <w:pStyle w:val="ListBullet"/>
        <w:spacing w:after="60"/>
      </w:pPr>
      <w:r>
        <w:rPr>
          <w:b/>
          <w:sz w:val="21"/>
        </w:rPr>
        <w:t xml:space="preserve">CLI (Command Line Interface): </w:t>
      </w:r>
      <w:r>
        <w:rPr>
          <w:sz w:val="21"/>
        </w:rPr>
      </w:r>
    </w:p>
    <w:p>
      <w:pPr>
        <w:spacing w:after="140" w:before="0"/>
        <w:ind w:left="567"/>
      </w:pPr>
      <w:r>
        <w:rPr>
          <w:sz w:val="21"/>
        </w:rPr>
        <w:t>Se escribe el nombre del programa en la terminal del sistema operativo, como si fuera un comando. El programa se ejecuta de forma independiente y produce un archivo de salida. No necesitas estar dentro de Python para usarlo.</w:t>
      </w:r>
    </w:p>
    <w:p>
      <w:pPr>
        <w:pStyle w:val="ListBullet"/>
        <w:spacing w:after="60"/>
      </w:pPr>
      <w:r>
        <w:rPr>
          <w:b/>
          <w:sz w:val="21"/>
        </w:rPr>
        <w:t xml:space="preserve">API Python (Application Programming Interface): </w:t>
      </w:r>
      <w:r>
        <w:rPr>
          <w:sz w:val="21"/>
        </w:rPr>
      </w:r>
    </w:p>
    <w:p>
      <w:pPr>
        <w:spacing w:after="140" w:before="0"/>
        <w:ind w:left="567"/>
      </w:pPr>
      <w:r>
        <w:rPr>
          <w:sz w:val="21"/>
        </w:rPr>
        <w:t>Se importa el paquete dentro del código Python y se llaman sus funciones directamente. Los datos se pasan en memoria entre funciones, sin escribir archivos intermedios.</w:t>
      </w:r>
    </w:p>
    <w:p>
      <w:pPr>
        <w:spacing w:after="20" w:before="160"/>
      </w:pPr>
      <w:r>
        <w:rPr>
          <w:b/>
          <w:color w:val="334477"/>
          <w:sz w:val="18"/>
        </w:rPr>
        <w:t xml:space="preserve">  ▶  CLI vs API Python — diferencia práctica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 CLI: se escribe en la terminal ────────────────────────────────</w:t>
            </w:r>
          </w:p>
          <w:p>
            <w:pPr>
              <w:spacing w:before="0" w:after="0"/>
            </w:pPr>
            <w:r>
              <w:rPr>
                <w:rFonts w:ascii="Courier New" w:hAnsi="Courier New"/>
                <w:color w:val="1A1A55"/>
                <w:sz w:val="18"/>
              </w:rPr>
              <w:t>pyscenic aucell expresion.loom regulones.csv --output resultado.loom</w:t>
            </w:r>
          </w:p>
          <w:p>
            <w:pPr>
              <w:spacing w:before="0" w:after="0"/>
            </w:pPr>
            <w:r>
              <w:rPr>
                <w:rFonts w:ascii="Courier New" w:hAnsi="Courier New"/>
                <w:color w:val="1A1A55"/>
                <w:sz w:val="18"/>
              </w:rPr>
              <w:t># El programa pyscenic se ejecuta como proceso externo</w:t>
            </w:r>
          </w:p>
          <w:p>
            <w:pPr>
              <w:spacing w:before="0" w:after="0"/>
            </w:pPr>
            <w:r>
              <w:rPr>
                <w:rFonts w:ascii="Courier New" w:hAnsi="Courier New"/>
                <w:color w:val="1A1A55"/>
                <w:sz w:val="18"/>
              </w:rPr>
              <w:t># Lee archivos del disco → calcula → escribe archivo de salida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API Python: se escribe dentro del script .py ──────────────────</w:t>
            </w:r>
          </w:p>
          <w:p>
            <w:pPr>
              <w:spacing w:before="0" w:after="0"/>
            </w:pPr>
            <w:r>
              <w:rPr>
                <w:rFonts w:ascii="Courier New" w:hAnsi="Courier New"/>
                <w:color w:val="1A1A55"/>
                <w:sz w:val="18"/>
              </w:rPr>
              <w:t>from pyscenic.aucell import aucell</w:t>
            </w:r>
          </w:p>
          <w:p>
            <w:pPr>
              <w:spacing w:before="0" w:after="0"/>
            </w:pPr>
            <w:r>
              <w:rPr>
                <w:rFonts w:ascii="Courier New" w:hAnsi="Courier New"/>
                <w:color w:val="1A1A55"/>
                <w:sz w:val="18"/>
              </w:rPr>
              <w:t>auc_matrix = aucell(expresion_en_memoria, regulones_en_memoria)</w:t>
            </w:r>
          </w:p>
          <w:p>
            <w:pPr>
              <w:spacing w:before="0" w:after="0"/>
            </w:pPr>
            <w:r>
              <w:rPr>
                <w:rFonts w:ascii="Courier New" w:hAnsi="Courier New"/>
                <w:color w:val="1A1A55"/>
                <w:sz w:val="18"/>
              </w:rPr>
              <w:t># La función se ejecuta dentro del mismo proceso Python</w:t>
            </w:r>
          </w:p>
          <w:p>
            <w:pPr>
              <w:spacing w:before="0" w:after="0"/>
            </w:pPr>
            <w:r>
              <w:rPr>
                <w:rFonts w:ascii="Courier New" w:hAnsi="Courier New"/>
                <w:color w:val="1A1A55"/>
                <w:sz w:val="18"/>
              </w:rPr>
              <w:t># Los datos van directo en RAM, sin pasar por el disco</w:t>
            </w:r>
          </w:p>
        </w:tc>
      </w:tr>
    </w:tbl>
    <w:p>
      <w:pPr>
        <w:spacing w:after="120"/>
      </w:pPr>
    </w:p>
    <w:p>
      <w:pPr>
        <w:spacing w:after="140" w:before="0"/>
      </w:pPr>
      <w:r>
        <w:rPr>
          <w:sz w:val="21"/>
        </w:rPr>
        <w:t>En este proyecto, el CLI de AUCell tiene un bug con pandas 2.x. Como la función interna no tiene ese bug, la solución fue saltar el CLI e invocar la función directamente desde Python.</w:t>
      </w:r>
    </w:p>
    <w:p>
      <w:pPr>
        <w:pStyle w:val="Heading2"/>
        <w:spacing w:before="240" w:after="120"/>
        <w:jc w:val="left"/>
      </w:pPr>
      <w:r>
        <w:rPr>
          <w:b/>
          <w:color w:val="2E5F9A"/>
          <w:sz w:val="28"/>
        </w:rPr>
        <w:t>2.4  pandas y DataFrame</w:t>
      </w:r>
    </w:p>
    <w:p>
      <w:pPr>
        <w:spacing w:after="140" w:before="0"/>
      </w:pPr>
      <w:r>
        <w:rPr>
          <w:sz w:val="21"/>
        </w:rPr>
        <w:t>pandas es el paquete de Python para manipular tablas de datos. Un DataFrame es simplemente una tabla: filas y columnas con nombres. En el contexto de scRNA-seq, la matriz de expresión se almacena en un DataFrame donde las filas son células y las columnas son genes.</w:t>
      </w:r>
    </w:p>
    <w:p>
      <w:pPr>
        <w:spacing w:after="20" w:before="160"/>
      </w:pPr>
      <w:r>
        <w:rPr>
          <w:b/>
          <w:color w:val="334477"/>
          <w:sz w:val="18"/>
        </w:rPr>
        <w:t xml:space="preserve">  ▶  Estructura de un DataFrame de expresión</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Un DataFrame de expresión génica se vería así:</w:t>
            </w:r>
          </w:p>
          <w:p>
            <w:pPr>
              <w:spacing w:before="0" w:after="0"/>
            </w:pPr>
            <w:r>
              <w:rPr>
                <w:rFonts w:ascii="Courier New" w:hAnsi="Courier New"/>
                <w:color w:val="1A1A55"/>
                <w:sz w:val="18"/>
              </w:rPr>
              <w:t>#</w:t>
            </w:r>
          </w:p>
          <w:p>
            <w:pPr>
              <w:spacing w:before="0" w:after="0"/>
            </w:pPr>
            <w:r>
              <w:rPr>
                <w:rFonts w:ascii="Courier New" w:hAnsi="Courier New"/>
                <w:color w:val="1A1A55"/>
                <w:sz w:val="18"/>
              </w:rPr>
              <w:t>#          GEN_A   GEN_B   GEN_C   GEN_D</w:t>
            </w:r>
          </w:p>
          <w:p>
            <w:pPr>
              <w:spacing w:before="0" w:after="0"/>
            </w:pPr>
            <w:r>
              <w:rPr>
                <w:rFonts w:ascii="Courier New" w:hAnsi="Courier New"/>
                <w:color w:val="1A1A55"/>
                <w:sz w:val="18"/>
              </w:rPr>
              <w:t># CELULA_1   0.0     2.5     0.0     8.1</w:t>
            </w:r>
          </w:p>
          <w:p>
            <w:pPr>
              <w:spacing w:before="0" w:after="0"/>
            </w:pPr>
            <w:r>
              <w:rPr>
                <w:rFonts w:ascii="Courier New" w:hAnsi="Courier New"/>
                <w:color w:val="1A1A55"/>
                <w:sz w:val="18"/>
              </w:rPr>
              <w:t># CELULA_2   1.3     0.0     5.6     0.0</w:t>
            </w:r>
          </w:p>
          <w:p>
            <w:pPr>
              <w:spacing w:before="0" w:after="0"/>
            </w:pPr>
            <w:r>
              <w:rPr>
                <w:rFonts w:ascii="Courier New" w:hAnsi="Courier New"/>
                <w:color w:val="1A1A55"/>
                <w:sz w:val="18"/>
              </w:rPr>
              <w:t># CELULA_3   0.0     4.2     3.1     2.7</w:t>
            </w:r>
          </w:p>
          <w:p>
            <w:pPr>
              <w:spacing w:before="0" w:after="0"/>
            </w:pPr>
            <w:r>
              <w:rPr>
                <w:rFonts w:ascii="Courier New" w:hAnsi="Courier New"/>
                <w:color w:val="1A1A55"/>
                <w:sz w:val="18"/>
              </w:rPr>
              <w:t>#</w:t>
            </w:r>
          </w:p>
          <w:p>
            <w:pPr>
              <w:spacing w:before="0" w:after="0"/>
            </w:pPr>
            <w:r>
              <w:rPr>
                <w:rFonts w:ascii="Courier New" w:hAnsi="Courier New"/>
                <w:color w:val="1A1A55"/>
                <w:sz w:val="18"/>
              </w:rPr>
              <w:t># Cada valor = nivel de expresión (conteos normalizados)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import pandas as pd</w:t>
            </w:r>
          </w:p>
          <w:p>
            <w:pPr>
              <w:spacing w:before="0" w:after="0"/>
            </w:pPr>
            <w:r>
              <w:rPr>
                <w:rFonts w:ascii="Courier New" w:hAnsi="Courier New"/>
                <w:color w:val="1A1A55"/>
                <w:sz w:val="18"/>
              </w:rPr>
              <w:t>ex_matrix = pd.DataFrame(data=matriz_numpy,</w:t>
            </w:r>
          </w:p>
          <w:p>
            <w:pPr>
              <w:spacing w:before="0" w:after="0"/>
            </w:pPr>
            <w:r>
              <w:rPr>
                <w:rFonts w:ascii="Courier New" w:hAnsi="Courier New"/>
                <w:color w:val="1A1A55"/>
                <w:sz w:val="18"/>
              </w:rPr>
              <w:t xml:space="preserve">                          index=lista_de_cellIDs,</w:t>
            </w:r>
          </w:p>
          <w:p>
            <w:pPr>
              <w:spacing w:before="0" w:after="0"/>
            </w:pPr>
            <w:r>
              <w:rPr>
                <w:rFonts w:ascii="Courier New" w:hAnsi="Courier New"/>
                <w:color w:val="1A1A55"/>
                <w:sz w:val="18"/>
              </w:rPr>
              <w:t xml:space="preserve">                          columns=lista_de_genes)</w:t>
            </w:r>
          </w:p>
        </w:tc>
      </w:tr>
    </w:tbl>
    <w:p>
      <w:pPr>
        <w:spacing w:after="120"/>
      </w:pPr>
    </w:p>
    <w:p>
      <w:pPr>
        <w:spacing w:after="140" w:before="0"/>
      </w:pPr>
      <w:r>
        <w:rPr>
          <w:sz w:val="21"/>
        </w:rPr>
        <w:t>El error de AUCell ocurre con un 'multi-index': una tabla donde las filas o columnas tienen dos niveles de etiquetas en lugar de uno. pandas 2.0 cambió cómo se construyen estas tablas y el código de pySCENIC no se actualizó.</w:t>
      </w:r>
    </w:p>
    <w:p>
      <w:pPr>
        <w:pStyle w:val="Heading2"/>
        <w:spacing w:before="240" w:after="120"/>
        <w:jc w:val="left"/>
      </w:pPr>
      <w:r>
        <w:rPr>
          <w:b/>
          <w:color w:val="2E5F9A"/>
          <w:sz w:val="28"/>
        </w:rPr>
        <w:t>2.5  AnnData — el objeto central de scanpy</w:t>
      </w:r>
    </w:p>
    <w:p>
      <w:pPr>
        <w:spacing w:after="140" w:before="0"/>
      </w:pPr>
      <w:r>
        <w:rPr>
          <w:sz w:val="21"/>
        </w:rPr>
        <w:t>AnnData (Annotated Data) es la estructura de datos central que usa scanpy. No es simplemente una tabla: es un objeto que guarda todo junto — la matriz de expresión, los metadatos de células, los metadatos de genes, las reducciones dimensionales (PCA, UMAP), los clusters, etc.</w:t>
      </w:r>
    </w:p>
    <w:p>
      <w:pPr>
        <w:spacing w:after="20" w:before="160"/>
      </w:pPr>
      <w:r>
        <w:rPr>
          <w:b/>
          <w:color w:val="334477"/>
          <w:sz w:val="18"/>
        </w:rPr>
        <w:t xml:space="preserve">  ▶  Estructura de un objeto AnnData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AnnData tiene estas partes:</w:t>
            </w:r>
          </w:p>
          <w:p>
            <w:pPr>
              <w:spacing w:before="0" w:after="0"/>
            </w:pPr>
            <w:r>
              <w:rPr>
                <w:rFonts w:ascii="Courier New" w:hAnsi="Courier New"/>
                <w:color w:val="1A1A55"/>
                <w:sz w:val="18"/>
              </w:rPr>
              <w:t>adata.X          # La matriz de expresión principal (células × genes)</w:t>
            </w:r>
          </w:p>
          <w:p>
            <w:pPr>
              <w:spacing w:before="0" w:after="0"/>
            </w:pPr>
            <w:r>
              <w:rPr>
                <w:rFonts w:ascii="Courier New" w:hAnsi="Courier New"/>
                <w:color w:val="1A1A55"/>
                <w:sz w:val="18"/>
              </w:rPr>
              <w:t>adata.obs        # Metadatos de células (filas): sample, cluster, cell_type...</w:t>
            </w:r>
          </w:p>
          <w:p>
            <w:pPr>
              <w:spacing w:before="0" w:after="0"/>
            </w:pPr>
            <w:r>
              <w:rPr>
                <w:rFonts w:ascii="Courier New" w:hAnsi="Courier New"/>
                <w:color w:val="1A1A55"/>
                <w:sz w:val="18"/>
              </w:rPr>
              <w:t>adata.var        # Metadatos de genes (columnas): highly_variable, mt, ribo...</w:t>
            </w:r>
          </w:p>
          <w:p>
            <w:pPr>
              <w:spacing w:before="0" w:after="0"/>
            </w:pPr>
            <w:r>
              <w:rPr>
                <w:rFonts w:ascii="Courier New" w:hAnsi="Courier New"/>
                <w:color w:val="1A1A55"/>
                <w:sz w:val="18"/>
              </w:rPr>
              <w:t>adata.obsm       # Embeddings: X_pca, X_umap (matrices por célula)</w:t>
            </w:r>
          </w:p>
          <w:p>
            <w:pPr>
              <w:spacing w:before="0" w:after="0"/>
            </w:pPr>
            <w:r>
              <w:rPr>
                <w:rFonts w:ascii="Courier New" w:hAnsi="Courier New"/>
                <w:color w:val="1A1A55"/>
                <w:sz w:val="18"/>
              </w:rPr>
              <w:t>adata.uns        # Datos no estructurados: configuración de leiden, colores...</w:t>
            </w:r>
          </w:p>
          <w:p>
            <w:pPr>
              <w:spacing w:before="0" w:after="0"/>
            </w:pPr>
            <w:r>
              <w:rPr>
                <w:rFonts w:ascii="Courier New" w:hAnsi="Courier New"/>
                <w:color w:val="1A1A55"/>
                <w:sz w:val="18"/>
              </w:rPr>
              <w:t>adata.layers     # Copias de la matriz: 'counts' = datos crudos sin normalizar</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Ejemplo: ver cuántas células y genes tiene</w:t>
            </w:r>
          </w:p>
          <w:p>
            <w:pPr>
              <w:spacing w:before="0" w:after="0"/>
            </w:pPr>
            <w:r>
              <w:rPr>
                <w:rFonts w:ascii="Courier New" w:hAnsi="Courier New"/>
                <w:color w:val="1A1A55"/>
                <w:sz w:val="18"/>
              </w:rPr>
              <w:t>print(adata.n_obs, adata.n_vars)  # Ejemplo: 17125 36601</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FFF8E1"/>
            <w:tcBorders>
              <w:top w:val="single" w:sz="8" w:space="0" w:color="B7860B"/>
              <w:left w:val="single" w:sz="8" w:space="0" w:color="B7860B"/>
              <w:bottom w:val="single" w:sz="8" w:space="0" w:color="B7860B"/>
              <w:right w:val="single" w:sz="8" w:space="0" w:color="B7860B"/>
            </w:tcBorders>
            <w:tcMar>
              <w:top w:w="100" w:type="dxa"/>
              <w:left w:w="100" w:type="dxa"/>
              <w:bottom w:w="100" w:type="dxa"/>
              <w:right w:w="100" w:type="dxa"/>
            </w:tcMar>
          </w:tcPr>
          <w:p>
            <w:pPr>
              <w:spacing w:before="60" w:after="60"/>
            </w:pPr>
            <w:r>
              <w:rPr>
                <w:b w:val="0"/>
                <w:color w:val="1A1A44"/>
                <w:sz w:val="20"/>
              </w:rPr>
              <w:t>💡  Analogía:  AnnData es como una carpeta de laboratorio completa: tiene la tabla de datos principal (X), las etiquetas de los pocillos (obs = células), las etiquetas de los analitos (var = genes), los gráficos (obsm = UMAP/PCA), y notas adicionales (uns). Todo en un solo lugar.</w:t>
            </w:r>
          </w:p>
        </w:tc>
      </w:tr>
    </w:tbl>
    <w:p>
      <w:pPr>
        <w:spacing w:after="120"/>
      </w:pPr>
    </w:p>
    <w:p>
      <w:pPr>
        <w:pStyle w:val="Heading2"/>
        <w:spacing w:before="240" w:after="120"/>
        <w:jc w:val="left"/>
      </w:pPr>
      <w:r>
        <w:rPr>
          <w:b/>
          <w:color w:val="2E5F9A"/>
          <w:sz w:val="28"/>
        </w:rPr>
        <w:t>2.6  Gradient Boosting — la base de GRNBoost2</w:t>
      </w:r>
    </w:p>
    <w:p>
      <w:pPr>
        <w:spacing w:after="140" w:before="0"/>
      </w:pPr>
      <w:r>
        <w:rPr>
          <w:sz w:val="21"/>
        </w:rPr>
        <w:t>GRNBoost2 usa un algoritmo de aprendizaje automático llamado Gradient Boosting. Aunque suena complejo, la idea central es sencilla:</w:t>
      </w:r>
    </w:p>
    <w:p>
      <w:pPr>
        <w:spacing w:after="140" w:before="0"/>
      </w:pPr>
      <w:r>
        <w:rPr>
          <w:sz w:val="21"/>
        </w:rPr>
        <w:t>Para cada gen objetivo (por ejemplo, HBB), el algoritmo intenta construir una fórmula matemática que prediga su nivel de expresión en cada célula, usando únicamente los niveles de expresión de los factores de transcripción conocidos. El TF que más contribuye a predecir la expresión de HBB se considera su regulador.</w:t>
      </w:r>
    </w:p>
    <w:p>
      <w:pPr>
        <w:spacing w:after="20" w:before="160"/>
      </w:pPr>
      <w:r>
        <w:rPr>
          <w:b/>
          <w:color w:val="334477"/>
          <w:sz w:val="18"/>
        </w:rPr>
        <w:t xml:space="preserve">  ▶  Lógica de GRNBoost2 paso a paso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Pseudocódigo simplificado de GRNBoost2:</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Para cada gen_objetivo (HBB, HBA1, KLF1, MYC, ...):  # ~20,000 genes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 Definir el problema de regresión:</w:t>
            </w:r>
          </w:p>
          <w:p>
            <w:pPr>
              <w:spacing w:before="0" w:after="0"/>
            </w:pPr>
            <w:r>
              <w:rPr>
                <w:rFonts w:ascii="Courier New" w:hAnsi="Courier New"/>
                <w:color w:val="1A1A55"/>
                <w:sz w:val="18"/>
              </w:rPr>
              <w:t xml:space="preserve">    X = niveles_de_expresion_de_TFs_en_cada_celula   # entrada: TFs</w:t>
            </w:r>
          </w:p>
          <w:p>
            <w:pPr>
              <w:spacing w:before="0" w:after="0"/>
            </w:pPr>
            <w:r>
              <w:rPr>
                <w:rFonts w:ascii="Courier New" w:hAnsi="Courier New"/>
                <w:color w:val="1A1A55"/>
                <w:sz w:val="18"/>
              </w:rPr>
              <w:t xml:space="preserve">    y = nivel_de_expresion_de_gen_objetivo           # salida: el gen</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 Entrenar modelo Gradient Boosting:</w:t>
            </w:r>
          </w:p>
          <w:p>
            <w:pPr>
              <w:spacing w:before="0" w:after="0"/>
            </w:pPr>
            <w:r>
              <w:rPr>
                <w:rFonts w:ascii="Courier New" w:hAnsi="Courier New"/>
                <w:color w:val="1A1A55"/>
                <w:sz w:val="18"/>
              </w:rPr>
              <w:t xml:space="preserve">    # El modelo aprende: 'si GATA1 sube, HBB también sube'</w:t>
            </w:r>
          </w:p>
          <w:p>
            <w:pPr>
              <w:spacing w:before="0" w:after="0"/>
            </w:pPr>
            <w:r>
              <w:rPr>
                <w:rFonts w:ascii="Courier New" w:hAnsi="Courier New"/>
                <w:color w:val="1A1A55"/>
                <w:sz w:val="18"/>
              </w:rPr>
              <w:t xml:space="preserve">    modelo.fit(X, y)</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 Extraer importancias: ¿qué TF contribuyó más a la predicción?</w:t>
            </w:r>
          </w:p>
          <w:p>
            <w:pPr>
              <w:spacing w:before="0" w:after="0"/>
            </w:pPr>
            <w:r>
              <w:rPr>
                <w:rFonts w:ascii="Courier New" w:hAnsi="Courier New"/>
                <w:color w:val="1A1A55"/>
                <w:sz w:val="18"/>
              </w:rPr>
              <w:t xml:space="preserve">    Para cada TF en TFs_conocidos:</w:t>
            </w:r>
          </w:p>
          <w:p>
            <w:pPr>
              <w:spacing w:before="0" w:after="0"/>
            </w:pPr>
            <w:r>
              <w:rPr>
                <w:rFonts w:ascii="Courier New" w:hAnsi="Courier New"/>
                <w:color w:val="1A1A55"/>
                <w:sz w:val="18"/>
              </w:rPr>
              <w:t xml:space="preserve">        guardar (TF, gen_objetivo, importancia_del_TF)</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Resultado: tabla de ~millones de filas:</w:t>
            </w:r>
          </w:p>
          <w:p>
            <w:pPr>
              <w:spacing w:before="0" w:after="0"/>
            </w:pPr>
            <w:r>
              <w:rPr>
                <w:rFonts w:ascii="Courier New" w:hAnsi="Courier New"/>
                <w:color w:val="1A1A55"/>
                <w:sz w:val="18"/>
              </w:rPr>
              <w:t># GATA1  →  HBB    importancia=0.94  (GATA1 predice muy bien HBB)</w:t>
            </w:r>
          </w:p>
          <w:p>
            <w:pPr>
              <w:spacing w:before="0" w:after="0"/>
            </w:pPr>
            <w:r>
              <w:rPr>
                <w:rFonts w:ascii="Courier New" w:hAnsi="Courier New"/>
                <w:color w:val="1A1A55"/>
                <w:sz w:val="18"/>
              </w:rPr>
              <w:t># GATA1  →  HBA1   importancia=0.87</w:t>
            </w:r>
          </w:p>
          <w:p>
            <w:pPr>
              <w:spacing w:before="0" w:after="0"/>
            </w:pPr>
            <w:r>
              <w:rPr>
                <w:rFonts w:ascii="Courier New" w:hAnsi="Courier New"/>
                <w:color w:val="1A1A55"/>
                <w:sz w:val="18"/>
              </w:rPr>
              <w:t># MYC    →  CDK4   importancia=0.71</w:t>
            </w:r>
          </w:p>
          <w:p>
            <w:pPr>
              <w:spacing w:before="0" w:after="0"/>
            </w:pPr>
            <w:r>
              <w:rPr>
                <w:rFonts w:ascii="Courier New" w:hAnsi="Courier New"/>
                <w:color w:val="1A1A55"/>
                <w:sz w:val="18"/>
              </w:rPr>
              <w:t># ...etc.</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FFF8E1"/>
            <w:tcBorders>
              <w:top w:val="single" w:sz="8" w:space="0" w:color="B7860B"/>
              <w:left w:val="single" w:sz="8" w:space="0" w:color="B7860B"/>
              <w:bottom w:val="single" w:sz="8" w:space="0" w:color="B7860B"/>
              <w:right w:val="single" w:sz="8" w:space="0" w:color="B7860B"/>
            </w:tcBorders>
            <w:tcMar>
              <w:top w:w="100" w:type="dxa"/>
              <w:left w:w="100" w:type="dxa"/>
              <w:bottom w:w="100" w:type="dxa"/>
              <w:right w:w="100" w:type="dxa"/>
            </w:tcMar>
          </w:tcPr>
          <w:p>
            <w:pPr>
              <w:spacing w:before="60" w:after="60"/>
            </w:pPr>
            <w:r>
              <w:rPr>
                <w:b w:val="0"/>
                <w:color w:val="1A1A44"/>
                <w:sz w:val="20"/>
              </w:rPr>
              <w:t>💡  Analogía:  Es como un análisis de regresión múltiple: tienes muchas variables independientes (los TFs) y quieres saber cuál de ellas predice mejor una variable dependiente (la expresión de un gen). Pero en vez de una regresión lineal simple, usa un modelo más sofisticado (Gradient Boosting) que captura relaciones no lineales.</w:t>
            </w:r>
          </w:p>
        </w:tc>
      </w:tr>
    </w:tbl>
    <w:p>
      <w:pPr>
        <w:spacing w:after="120"/>
      </w:pPr>
    </w:p>
    <w:p>
      <w:pPr>
        <w:pStyle w:val="Heading2"/>
        <w:spacing w:before="240" w:after="120"/>
        <w:jc w:val="left"/>
      </w:pPr>
      <w:r>
        <w:rPr>
          <w:b/>
          <w:color w:val="2E5F9A"/>
          <w:sz w:val="28"/>
        </w:rPr>
        <w:t>2.7  Formato loom vs h5ad</w:t>
      </w:r>
    </w:p>
    <w:p>
      <w:pPr>
        <w:spacing w:after="140" w:before="0"/>
      </w:pPr>
      <w:r>
        <w:rPr>
          <w:sz w:val="21"/>
        </w:rPr>
        <w:t>Ambos son formatos de archivo binario (no se pueden abrir en Excel) para almacenar matrices de expresión génica grandes. Los dos usan HDF5 internamente — un formato estándar para datos científicos masivos.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Característica</w:t>
            </w:r>
          </w:p>
        </w:tc>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loom (.loom)</w:t>
            </w:r>
          </w:p>
        </w:tc>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h5ad (.h5ad)</w:t>
            </w:r>
          </w:p>
        </w:tc>
      </w:tr>
      <w:tr>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Creado por</w:t>
            </w:r>
          </w:p>
        </w:tc>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Lab Linnarsson (2016)</w:t>
            </w:r>
          </w:p>
        </w:tc>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Proyecto AnnData/scverse (2018)</w:t>
            </w:r>
          </w:p>
        </w:tc>
      </w:tr>
      <w:tr>
        <w:tc>
          <w:tcPr>
            <w:tcW w:type="dxa" w:w="3041"/>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Soporte actual</w:t>
            </w:r>
          </w:p>
        </w:tc>
        <w:tc>
          <w:tcPr>
            <w:tcW w:type="dxa" w:w="3041"/>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Mínimo (loompy poco activo)</w:t>
            </w:r>
          </w:p>
        </w:tc>
        <w:tc>
          <w:tcPr>
            <w:tcW w:type="dxa" w:w="3041"/>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Activo (núcleo de scanpy)</w:t>
            </w:r>
          </w:p>
        </w:tc>
      </w:tr>
      <w:tr>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Integración</w:t>
            </w:r>
          </w:p>
        </w:tc>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Requiere loompy separado</w:t>
            </w:r>
          </w:p>
        </w:tc>
        <w:tc>
          <w:tcPr>
            <w:tcW w:type="dxa" w:w="3041"/>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Nativo en scanpy/anndata</w:t>
            </w:r>
          </w:p>
        </w:tc>
      </w:tr>
    </w:tbl>
    <w:p>
      <w:pPr>
        <w:spacing w:after="160"/>
      </w:pPr>
    </w:p>
    <w:p>
      <w:pPr>
        <w:pStyle w:val="Heading2"/>
        <w:spacing w:before="240" w:after="120"/>
        <w:jc w:val="left"/>
      </w:pPr>
      <w:r>
        <w:rPr>
          <w:b/>
          <w:color w:val="2E5F9A"/>
          <w:sz w:val="28"/>
        </w:rPr>
        <w:t>2.8  subprocess — ejecutar comandos del sistema desde Python</w:t>
      </w:r>
    </w:p>
    <w:p>
      <w:pPr>
        <w:spacing w:after="140" w:before="0"/>
      </w:pPr>
      <w:r>
        <w:rPr>
          <w:sz w:val="21"/>
        </w:rPr>
        <w:t>El módulo subprocess permite que un script Python ejecute comandos de la terminal del sistema operativo como si los escribieras tú mismo. El script 02 lo usa para llamar al CLI de cisTarget (pyscenic ctx) desde dentro del código.</w:t>
      </w:r>
    </w:p>
    <w:p>
      <w:pPr>
        <w:spacing w:after="20" w:before="160"/>
      </w:pPr>
      <w:r>
        <w:rPr>
          <w:b/>
          <w:color w:val="334477"/>
          <w:sz w:val="18"/>
        </w:rPr>
        <w:t xml:space="preserve">  ▶  Uso de subprocess para llamar pyscenic ctx</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import subprocess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Esto equivale a escribir en la terminal:</w:t>
            </w:r>
          </w:p>
          <w:p>
            <w:pPr>
              <w:spacing w:before="0" w:after="0"/>
            </w:pPr>
            <w:r>
              <w:rPr>
                <w:rFonts w:ascii="Courier New" w:hAnsi="Courier New"/>
                <w:color w:val="1A1A55"/>
                <w:sz w:val="18"/>
              </w:rPr>
              <w:t># pyscenic ctx adjacencies.tsv rankings.feather --output regulons.csv</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resultado = subprocess.run([</w:t>
            </w:r>
          </w:p>
          <w:p>
            <w:pPr>
              <w:spacing w:before="0" w:after="0"/>
            </w:pPr>
            <w:r>
              <w:rPr>
                <w:rFonts w:ascii="Courier New" w:hAnsi="Courier New"/>
                <w:color w:val="1A1A55"/>
                <w:sz w:val="18"/>
              </w:rPr>
              <w:t xml:space="preserve">    'pyscenic', 'ctx',          # el comando</w:t>
            </w:r>
          </w:p>
          <w:p>
            <w:pPr>
              <w:spacing w:before="0" w:after="0"/>
            </w:pPr>
            <w:r>
              <w:rPr>
                <w:rFonts w:ascii="Courier New" w:hAnsi="Courier New"/>
                <w:color w:val="1A1A55"/>
                <w:sz w:val="18"/>
              </w:rPr>
              <w:t xml:space="preserve">    'adjacencies.tsv',          # argumento 1</w:t>
            </w:r>
          </w:p>
          <w:p>
            <w:pPr>
              <w:spacing w:before="0" w:after="0"/>
            </w:pPr>
            <w:r>
              <w:rPr>
                <w:rFonts w:ascii="Courier New" w:hAnsi="Courier New"/>
                <w:color w:val="1A1A55"/>
                <w:sz w:val="18"/>
              </w:rPr>
              <w:t xml:space="preserve">    'rankings.feather',         # argumento 2</w:t>
            </w:r>
          </w:p>
          <w:p>
            <w:pPr>
              <w:spacing w:before="0" w:after="0"/>
            </w:pPr>
            <w:r>
              <w:rPr>
                <w:rFonts w:ascii="Courier New" w:hAnsi="Courier New"/>
                <w:color w:val="1A1A55"/>
                <w:sz w:val="18"/>
              </w:rPr>
              <w:t xml:space="preserve">    '--output', 'regulons.csv', # argumento 3</w:t>
            </w:r>
          </w:p>
          <w:p>
            <w:pPr>
              <w:spacing w:before="0" w:after="0"/>
            </w:pPr>
            <w:r>
              <w:rPr>
                <w:rFonts w:ascii="Courier New" w:hAnsi="Courier New"/>
                <w:color w:val="1A1A55"/>
                <w:sz w:val="18"/>
              </w:rPr>
              <w:t>], capture_output=True, text=True)</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if resultado.returncode != 0:</w:t>
            </w:r>
          </w:p>
          <w:p>
            <w:pPr>
              <w:spacing w:before="0" w:after="0"/>
            </w:pPr>
            <w:r>
              <w:rPr>
                <w:rFonts w:ascii="Courier New" w:hAnsi="Courier New"/>
                <w:color w:val="1A1A55"/>
                <w:sz w:val="18"/>
              </w:rPr>
              <w:t xml:space="preserve">    raise RuntimeError('cisTarget falló')</w:t>
            </w:r>
          </w:p>
        </w:tc>
      </w:tr>
    </w:tbl>
    <w:p>
      <w:pPr>
        <w:spacing w:after="120"/>
      </w:pPr>
    </w:p>
    <w:p>
      <w:r>
        <w:br w:type="page"/>
      </w:r>
    </w:p>
    <w:p>
      <w:pPr>
        <w:pStyle w:val="Heading1"/>
        <w:spacing w:before="360" w:after="120"/>
        <w:jc w:val="left"/>
      </w:pPr>
      <w:r>
        <w:rPr>
          <w:b/>
          <w:color w:val="1F3864"/>
          <w:sz w:val="36"/>
        </w:rPr>
        <w:t>3.  Contexto: los tutoriales originales</w:t>
      </w:r>
    </w:p>
    <w:p>
      <w:pPr>
        <w:pBdr>
          <w:bottom w:val="single" w:sz="6" w:space="1" w:color="AAAAAA"/>
        </w:pBdr>
        <w:spacing w:after="160"/>
      </w:pPr>
    </w:p>
    <w:p>
      <w:pPr>
        <w:pStyle w:val="Heading2"/>
        <w:spacing w:before="240" w:after="120"/>
        <w:jc w:val="left"/>
      </w:pPr>
      <w:r>
        <w:rPr>
          <w:b/>
          <w:color w:val="2E5F9A"/>
          <w:sz w:val="28"/>
        </w:rPr>
        <w:t>3.1  Tutorial 1 — Scanpy: Preprocessing and Clustering</w:t>
      </w:r>
    </w:p>
    <w:p>
      <w:pPr>
        <w:spacing w:after="140" w:before="0"/>
      </w:pPr>
      <w:r>
        <w:rPr>
          <w:sz w:val="21"/>
        </w:rPr>
        <w:t>URL de referencia: https://scanpy.readthedocs.io/en/stable/tutorials/basics/clustering.html</w:t>
      </w:r>
    </w:p>
    <w:p>
      <w:pPr>
        <w:spacing w:after="140" w:before="0"/>
      </w:pPr>
      <w:r>
        <w:rPr>
          <w:sz w:val="21"/>
        </w:rPr>
        <w:t>Este es el tutorial oficial de scanpy para el análisis estándar de scRNA-seq. Fue escrito por los desarrolladores del paquete y usa datos reales del benchmark NeurIPS 2021: células mononucleares de médula ósea humana de donantes sanos, medidas con la tecnología 10X Multiome (~17,000 células, ~36,000 genes).</w:t>
      </w:r>
    </w:p>
    <w:p>
      <w:pPr>
        <w:spacing w:after="140" w:before="0"/>
      </w:pPr>
      <w:r>
        <w:rPr>
          <w:sz w:val="21"/>
        </w:rPr>
        <w:t>El flujo completo del tutorial:</w:t>
      </w:r>
    </w:p>
    <w:p>
      <w:pPr>
        <w:spacing w:after="40" w:before="0"/>
      </w:pPr>
      <w:r>
        <w:rPr>
          <w:b/>
          <w:i w:val="0"/>
          <w:color w:val="2E5F9A"/>
          <w:sz w:val="21"/>
        </w:rPr>
        <w:t xml:space="preserve">  Carga de datos: </w:t>
      </w:r>
      <w:r>
        <w:rPr>
          <w:b w:val="0"/>
          <w:i w:val="0"/>
          <w:sz w:val="21"/>
        </w:rPr>
        <w:t>Lee archivos .h5 de 10X Genomics y combina múltiples muestras en un solo AnnData.</w:t>
      </w:r>
    </w:p>
    <w:p>
      <w:pPr>
        <w:spacing w:after="100" w:before="0"/>
      </w:pPr>
      <w:r>
        <w:rPr>
          <w:b/>
          <w:i w:val="0"/>
          <w:color w:val="888888"/>
          <w:sz w:val="21"/>
        </w:rPr>
        <w:t xml:space="preserve">    Función(es): </w:t>
      </w:r>
      <w:r>
        <w:rPr>
          <w:rFonts w:ascii="Courier New" w:hAnsi="Courier New"/>
          <w:b w:val="0"/>
          <w:i/>
          <w:color w:val="555555"/>
          <w:sz w:val="21"/>
        </w:rPr>
        <w:t>sc.read_10x_h5()  +  anndata.concat()</w:t>
      </w:r>
    </w:p>
    <w:p>
      <w:pPr>
        <w:spacing w:after="40" w:before="0"/>
      </w:pPr>
      <w:r>
        <w:rPr>
          <w:b/>
          <w:i w:val="0"/>
          <w:color w:val="2E5F9A"/>
          <w:sz w:val="21"/>
        </w:rPr>
        <w:t xml:space="preserve">  Control de calidad (QC): </w:t>
      </w:r>
      <w:r>
        <w:rPr>
          <w:b w:val="0"/>
          <w:i w:val="0"/>
          <w:sz w:val="21"/>
        </w:rPr>
        <w:t>Calcula métricas por célula (genes detectados, conteos totales, % mitocondrial) y filtra células y genes de baja calidad.</w:t>
      </w:r>
    </w:p>
    <w:p>
      <w:pPr>
        <w:spacing w:after="100" w:before="0"/>
      </w:pPr>
      <w:r>
        <w:rPr>
          <w:b/>
          <w:i w:val="0"/>
          <w:color w:val="888888"/>
          <w:sz w:val="21"/>
        </w:rPr>
        <w:t xml:space="preserve">    Función(es): </w:t>
      </w:r>
      <w:r>
        <w:rPr>
          <w:rFonts w:ascii="Courier New" w:hAnsi="Courier New"/>
          <w:b w:val="0"/>
          <w:i/>
          <w:color w:val="555555"/>
          <w:sz w:val="21"/>
        </w:rPr>
        <w:t>sc.pp.calculate_qc_metrics()  +  sc.pp.filter_cells()  +  sc.pp.filter_genes()</w:t>
      </w:r>
    </w:p>
    <w:p>
      <w:pPr>
        <w:spacing w:after="40" w:before="0"/>
      </w:pPr>
      <w:r>
        <w:rPr>
          <w:b/>
          <w:i w:val="0"/>
          <w:color w:val="2E5F9A"/>
          <w:sz w:val="21"/>
        </w:rPr>
        <w:t xml:space="preserve">  Detección de dobletes: </w:t>
      </w:r>
      <w:r>
        <w:rPr>
          <w:b w:val="0"/>
          <w:i w:val="0"/>
          <w:sz w:val="21"/>
        </w:rPr>
        <w:t>Identifica y marca células que son en realidad dos células capturadas juntas.</w:t>
      </w:r>
    </w:p>
    <w:p>
      <w:pPr>
        <w:spacing w:after="100" w:before="0"/>
      </w:pPr>
      <w:r>
        <w:rPr>
          <w:b/>
          <w:i w:val="0"/>
          <w:color w:val="888888"/>
          <w:sz w:val="21"/>
        </w:rPr>
        <w:t xml:space="preserve">    Función(es): </w:t>
      </w:r>
      <w:r>
        <w:rPr>
          <w:rFonts w:ascii="Courier New" w:hAnsi="Courier New"/>
          <w:b w:val="0"/>
          <w:i/>
          <w:color w:val="555555"/>
          <w:sz w:val="21"/>
        </w:rPr>
        <w:t>sc.pp.scrublet()</w:t>
      </w:r>
    </w:p>
    <w:p>
      <w:pPr>
        <w:spacing w:after="40" w:before="0"/>
      </w:pPr>
      <w:r>
        <w:rPr>
          <w:b/>
          <w:i w:val="0"/>
          <w:color w:val="2E5F9A"/>
          <w:sz w:val="21"/>
        </w:rPr>
        <w:t xml:space="preserve">  Normalización: </w:t>
      </w:r>
      <w:r>
        <w:rPr>
          <w:b w:val="0"/>
          <w:i w:val="0"/>
          <w:sz w:val="21"/>
        </w:rPr>
        <w:t>Ajusta los conteos para que sean comparables entre células con diferente profundidad de secuenciación, luego aplica transformación log.</w:t>
      </w:r>
    </w:p>
    <w:p>
      <w:pPr>
        <w:spacing w:after="100" w:before="0"/>
      </w:pPr>
      <w:r>
        <w:rPr>
          <w:b/>
          <w:i w:val="0"/>
          <w:color w:val="888888"/>
          <w:sz w:val="21"/>
        </w:rPr>
        <w:t xml:space="preserve">    Función(es): </w:t>
      </w:r>
      <w:r>
        <w:rPr>
          <w:rFonts w:ascii="Courier New" w:hAnsi="Courier New"/>
          <w:b w:val="0"/>
          <w:i/>
          <w:color w:val="555555"/>
          <w:sz w:val="21"/>
        </w:rPr>
        <w:t>sc.pp.normalize_total()  +  sc.pp.log1p()</w:t>
      </w:r>
    </w:p>
    <w:p>
      <w:pPr>
        <w:spacing w:after="40" w:before="0"/>
      </w:pPr>
      <w:r>
        <w:rPr>
          <w:b/>
          <w:i w:val="0"/>
          <w:color w:val="2E5F9A"/>
          <w:sz w:val="21"/>
        </w:rPr>
        <w:t xml:space="preserve">  Selección de genes variables (HVG): </w:t>
      </w:r>
      <w:r>
        <w:rPr>
          <w:b w:val="0"/>
          <w:i w:val="0"/>
          <w:sz w:val="21"/>
        </w:rPr>
        <w:t>Selecciona los 2,000 genes más informativos para reducir dimensionalidad.</w:t>
      </w:r>
    </w:p>
    <w:p>
      <w:pPr>
        <w:spacing w:after="100" w:before="0"/>
      </w:pPr>
      <w:r>
        <w:rPr>
          <w:b/>
          <w:i w:val="0"/>
          <w:color w:val="888888"/>
          <w:sz w:val="21"/>
        </w:rPr>
        <w:t xml:space="preserve">    Función(es): </w:t>
      </w:r>
      <w:r>
        <w:rPr>
          <w:rFonts w:ascii="Courier New" w:hAnsi="Courier New"/>
          <w:b w:val="0"/>
          <w:i/>
          <w:color w:val="555555"/>
          <w:sz w:val="21"/>
        </w:rPr>
        <w:t>sc.pp.highly_variable_genes()</w:t>
      </w:r>
    </w:p>
    <w:p>
      <w:pPr>
        <w:spacing w:after="40" w:before="0"/>
      </w:pPr>
      <w:r>
        <w:rPr>
          <w:b/>
          <w:i w:val="0"/>
          <w:color w:val="2E5F9A"/>
          <w:sz w:val="21"/>
        </w:rPr>
        <w:t xml:space="preserve">  PCA: </w:t>
      </w:r>
      <w:r>
        <w:rPr>
          <w:b w:val="0"/>
          <w:i w:val="0"/>
          <w:sz w:val="21"/>
        </w:rPr>
        <w:t>Reduce la dimensionalidad de 2,000 genes a ~50 componentes principales.</w:t>
      </w:r>
    </w:p>
    <w:p>
      <w:pPr>
        <w:spacing w:after="100" w:before="0"/>
      </w:pPr>
      <w:r>
        <w:rPr>
          <w:b/>
          <w:i w:val="0"/>
          <w:color w:val="888888"/>
          <w:sz w:val="21"/>
        </w:rPr>
        <w:t xml:space="preserve">    Función(es): </w:t>
      </w:r>
      <w:r>
        <w:rPr>
          <w:rFonts w:ascii="Courier New" w:hAnsi="Courier New"/>
          <w:b w:val="0"/>
          <w:i/>
          <w:color w:val="555555"/>
          <w:sz w:val="21"/>
        </w:rPr>
        <w:t>sc.tl.pca()</w:t>
      </w:r>
    </w:p>
    <w:p>
      <w:pPr>
        <w:spacing w:after="40" w:before="0"/>
      </w:pPr>
      <w:r>
        <w:rPr>
          <w:b/>
          <w:i w:val="0"/>
          <w:color w:val="2E5F9A"/>
          <w:sz w:val="21"/>
        </w:rPr>
        <w:t xml:space="preserve">  Grafo de vecinos: </w:t>
      </w:r>
      <w:r>
        <w:rPr>
          <w:b w:val="0"/>
          <w:i w:val="0"/>
          <w:sz w:val="21"/>
        </w:rPr>
        <w:t>Construye un grafo donde cada célula está conectada con sus k vecinos más similares.</w:t>
      </w:r>
    </w:p>
    <w:p>
      <w:pPr>
        <w:spacing w:after="100" w:before="0"/>
      </w:pPr>
      <w:r>
        <w:rPr>
          <w:b/>
          <w:i w:val="0"/>
          <w:color w:val="888888"/>
          <w:sz w:val="21"/>
        </w:rPr>
        <w:t xml:space="preserve">    Función(es): </w:t>
      </w:r>
      <w:r>
        <w:rPr>
          <w:rFonts w:ascii="Courier New" w:hAnsi="Courier New"/>
          <w:b w:val="0"/>
          <w:i/>
          <w:color w:val="555555"/>
          <w:sz w:val="21"/>
        </w:rPr>
        <w:t>sc.pp.neighbors()</w:t>
      </w:r>
    </w:p>
    <w:p>
      <w:pPr>
        <w:spacing w:after="40" w:before="0"/>
      </w:pPr>
      <w:r>
        <w:rPr>
          <w:b/>
          <w:i w:val="0"/>
          <w:color w:val="2E5F9A"/>
          <w:sz w:val="21"/>
        </w:rPr>
        <w:t xml:space="preserve">  UMAP: </w:t>
      </w:r>
      <w:r>
        <w:rPr>
          <w:b w:val="0"/>
          <w:i w:val="0"/>
          <w:sz w:val="21"/>
        </w:rPr>
        <w:t>Proyecta el grafo de vecinos en 2D para visualización.</w:t>
      </w:r>
    </w:p>
    <w:p>
      <w:pPr>
        <w:spacing w:after="100" w:before="0"/>
      </w:pPr>
      <w:r>
        <w:rPr>
          <w:b/>
          <w:i w:val="0"/>
          <w:color w:val="888888"/>
          <w:sz w:val="21"/>
        </w:rPr>
        <w:t xml:space="preserve">    Función(es): </w:t>
      </w:r>
      <w:r>
        <w:rPr>
          <w:rFonts w:ascii="Courier New" w:hAnsi="Courier New"/>
          <w:b w:val="0"/>
          <w:i/>
          <w:color w:val="555555"/>
          <w:sz w:val="21"/>
        </w:rPr>
        <w:t>sc.tl.umap()</w:t>
      </w:r>
    </w:p>
    <w:p>
      <w:pPr>
        <w:spacing w:after="40" w:before="0"/>
      </w:pPr>
      <w:r>
        <w:rPr>
          <w:b/>
          <w:i w:val="0"/>
          <w:color w:val="2E5F9A"/>
          <w:sz w:val="21"/>
        </w:rPr>
        <w:t xml:space="preserve">  Clustering Leiden: </w:t>
      </w:r>
      <w:r>
        <w:rPr>
          <w:b w:val="0"/>
          <w:i w:val="0"/>
          <w:sz w:val="21"/>
        </w:rPr>
        <w:t>Detecta comunidades en el grafo de vecinos. Cada comunidad = un tipo celular potencial.</w:t>
      </w:r>
    </w:p>
    <w:p>
      <w:pPr>
        <w:spacing w:after="100" w:before="0"/>
      </w:pPr>
      <w:r>
        <w:rPr>
          <w:b/>
          <w:i w:val="0"/>
          <w:color w:val="888888"/>
          <w:sz w:val="21"/>
        </w:rPr>
        <w:t xml:space="preserve">    Función(es): </w:t>
      </w:r>
      <w:r>
        <w:rPr>
          <w:rFonts w:ascii="Courier New" w:hAnsi="Courier New"/>
          <w:b w:val="0"/>
          <w:i/>
          <w:color w:val="555555"/>
          <w:sz w:val="21"/>
        </w:rPr>
        <w:t>sc.tl.leiden()</w:t>
      </w:r>
    </w:p>
    <w:p>
      <w:pPr>
        <w:spacing w:after="40" w:before="0"/>
      </w:pPr>
      <w:r>
        <w:rPr>
          <w:b/>
          <w:i w:val="0"/>
          <w:color w:val="2E5F9A"/>
          <w:sz w:val="21"/>
        </w:rPr>
        <w:t xml:space="preserve">  Expresión diferencial y anotación: </w:t>
      </w:r>
      <w:r>
        <w:rPr>
          <w:b w:val="0"/>
          <w:i w:val="0"/>
          <w:sz w:val="21"/>
        </w:rPr>
        <w:t>Identifica genes marcadores de cada cluster para asignar identidad celular.</w:t>
      </w:r>
    </w:p>
    <w:p>
      <w:pPr>
        <w:spacing w:after="100" w:before="0"/>
      </w:pPr>
      <w:r>
        <w:rPr>
          <w:b/>
          <w:i w:val="0"/>
          <w:color w:val="888888"/>
          <w:sz w:val="21"/>
        </w:rPr>
        <w:t xml:space="preserve">    Función(es): </w:t>
      </w:r>
      <w:r>
        <w:rPr>
          <w:rFonts w:ascii="Courier New" w:hAnsi="Courier New"/>
          <w:b w:val="0"/>
          <w:i/>
          <w:color w:val="555555"/>
          <w:sz w:val="21"/>
        </w:rPr>
        <w:t>sc.tl.rank_genes_groups()  +  sc.pl.dotplot()</w:t>
      </w:r>
    </w:p>
    <w:p/>
    <w:p>
      <w:pPr>
        <w:pStyle w:val="Heading2"/>
        <w:spacing w:before="240" w:after="120"/>
        <w:jc w:val="left"/>
      </w:pPr>
      <w:r>
        <w:rPr>
          <w:b/>
          <w:color w:val="2E5F9A"/>
          <w:sz w:val="28"/>
        </w:rPr>
        <w:t>3.2  Tutorial 2 — SCENICprotocol (pySCENIC)</w:t>
      </w:r>
    </w:p>
    <w:p>
      <w:pPr>
        <w:spacing w:after="140" w:before="0"/>
      </w:pPr>
      <w:r>
        <w:rPr>
          <w:sz w:val="21"/>
        </w:rPr>
        <w:t>URL de referencia: https://github.com/aertslab/SCENICprotocol</w:t>
      </w:r>
    </w:p>
    <w:p>
      <w:pPr>
        <w:spacing w:after="140" w:before="0"/>
      </w:pPr>
      <w:r>
        <w:rPr>
          <w:sz w:val="21"/>
        </w:rPr>
        <w:t>Este protocolo del laboratorio Aerts (KU Leuven, Bélgica) implementa el algoritmo SCENIC para inferencia de redes de regulación génica (GRN) a single-cell. A diferencia del análisis de expresión estándar, SCENIC identifica no solo qué genes se expresan en cada célula, sino qué factores de transcripción están activos y qué programas regulatorios definen la identidad de cada tipo celular.</w:t>
      </w:r>
    </w:p>
    <w:p>
      <w:pPr>
        <w:spacing w:after="140" w:before="0"/>
      </w:pPr>
      <w:r>
        <w:rPr>
          <w:sz w:val="21"/>
        </w:rPr>
        <w:t>El flujo del protocolo tiene tres pasos biológicamente distintos:</w:t>
      </w:r>
    </w:p>
    <w:p>
      <w:pPr>
        <w:spacing w:after="40" w:before="0"/>
      </w:pPr>
      <w:r>
        <w:rPr>
          <w:b/>
          <w:i w:val="0"/>
          <w:color w:val="8B0000"/>
          <w:sz w:val="21"/>
        </w:rPr>
        <w:t xml:space="preserve">  Paso 1 — GRNBoost2: </w:t>
      </w:r>
      <w:r>
        <w:rPr>
          <w:b w:val="0"/>
          <w:i w:val="0"/>
          <w:sz w:val="21"/>
        </w:rPr>
        <w:t>Inferencia de la red TF-gen. Para cada gen, calcula qué TFs son sus mejores predictores usando Gradient Boosting. Produce una tabla de importancias TF→gen.</w:t>
      </w:r>
    </w:p>
    <w:p>
      <w:pPr>
        <w:spacing w:after="100" w:before="0"/>
      </w:pPr>
      <w:r>
        <w:rPr>
          <w:b/>
          <w:i w:val="0"/>
          <w:color w:val="888888"/>
          <w:sz w:val="21"/>
        </w:rPr>
        <w:t xml:space="preserve">    Herramienta: </w:t>
      </w:r>
      <w:r>
        <w:rPr>
          <w:rFonts w:ascii="Courier New" w:hAnsi="Courier New"/>
          <w:b w:val="0"/>
          <w:i/>
          <w:color w:val="555555"/>
          <w:sz w:val="21"/>
        </w:rPr>
        <w:t>pyscenic grn  (usa arboreto internamente)</w:t>
      </w:r>
    </w:p>
    <w:p>
      <w:pPr>
        <w:spacing w:after="40" w:before="0"/>
      </w:pPr>
      <w:r>
        <w:rPr>
          <w:b/>
          <w:i w:val="0"/>
          <w:color w:val="8B0000"/>
          <w:sz w:val="21"/>
        </w:rPr>
        <w:t xml:space="preserve">  Paso 2 — cisTarget: </w:t>
      </w:r>
      <w:r>
        <w:rPr>
          <w:b w:val="0"/>
          <w:i w:val="0"/>
          <w:sz w:val="21"/>
        </w:rPr>
        <w:t>Validación de regulones por enriquecimiento de motivos. Filtra las relaciones TF-gen para quedarse solo con las que tienen evidencia de regulación real a nivel de ADN: busca si el motivo de unión del TF está enriquecido en el promotor de sus genes objetivo en la base de datos genómica hg38.</w:t>
      </w:r>
    </w:p>
    <w:p>
      <w:pPr>
        <w:spacing w:after="100" w:before="0"/>
      </w:pPr>
      <w:r>
        <w:rPr>
          <w:b/>
          <w:i w:val="0"/>
          <w:color w:val="888888"/>
          <w:sz w:val="21"/>
        </w:rPr>
        <w:t xml:space="preserve">    Herramienta: </w:t>
      </w:r>
      <w:r>
        <w:rPr>
          <w:rFonts w:ascii="Courier New" w:hAnsi="Courier New"/>
          <w:b w:val="0"/>
          <w:i/>
          <w:color w:val="555555"/>
          <w:sz w:val="21"/>
        </w:rPr>
        <w:t>pyscenic ctx</w:t>
      </w:r>
    </w:p>
    <w:p>
      <w:pPr>
        <w:spacing w:after="40" w:before="0"/>
      </w:pPr>
      <w:r>
        <w:rPr>
          <w:b/>
          <w:i w:val="0"/>
          <w:color w:val="8B0000"/>
          <w:sz w:val="21"/>
        </w:rPr>
        <w:t xml:space="preserve">  Paso 3 — AUCell: </w:t>
      </w:r>
      <w:r>
        <w:rPr>
          <w:b w:val="0"/>
          <w:i w:val="0"/>
          <w:sz w:val="21"/>
        </w:rPr>
        <w:t>Scoring de actividad de regulones por célula. Para cada célula, calcula qué tan activo está cada regulón usando el área bajo la curva (AUC) de un ranking de genes. Produce una matriz células × regulones.</w:t>
      </w:r>
    </w:p>
    <w:p>
      <w:pPr>
        <w:spacing w:after="100" w:before="0"/>
      </w:pPr>
      <w:r>
        <w:rPr>
          <w:b/>
          <w:i w:val="0"/>
          <w:color w:val="888888"/>
          <w:sz w:val="21"/>
        </w:rPr>
        <w:t xml:space="preserve">    Herramienta: </w:t>
      </w:r>
      <w:r>
        <w:rPr>
          <w:rFonts w:ascii="Courier New" w:hAnsi="Courier New"/>
          <w:b w:val="0"/>
          <w:i/>
          <w:color w:val="555555"/>
          <w:sz w:val="21"/>
        </w:rPr>
        <w:t>pyscenic aucell</w:t>
      </w:r>
    </w:p>
    <w:p>
      <w:pPr>
        <w:spacing w:after="40" w:before="0"/>
      </w:pPr>
      <w:r>
        <w:rPr>
          <w:b/>
          <w:i w:val="0"/>
          <w:color w:val="8B0000"/>
          <w:sz w:val="21"/>
        </w:rPr>
        <w:t xml:space="preserve">  Visualización: </w:t>
      </w:r>
      <w:r>
        <w:rPr>
          <w:b w:val="0"/>
          <w:i w:val="0"/>
          <w:sz w:val="21"/>
        </w:rPr>
        <w:t>Clustering y UMAP usando la matriz AUCell en lugar de la matriz de expresión. Las células se agrupan según la actividad de sus programas regulatorios.</w:t>
      </w:r>
    </w:p>
    <w:p>
      <w:pPr>
        <w:spacing w:after="100" w:before="0"/>
      </w:pPr>
      <w:r>
        <w:rPr>
          <w:b/>
          <w:i w:val="0"/>
          <w:color w:val="888888"/>
          <w:sz w:val="21"/>
        </w:rPr>
        <w:t xml:space="preserve">    Herramienta: </w:t>
      </w:r>
      <w:r>
        <w:rPr>
          <w:rFonts w:ascii="Courier New" w:hAnsi="Courier New"/>
          <w:b w:val="0"/>
          <w:i/>
          <w:color w:val="555555"/>
          <w:sz w:val="21"/>
        </w:rPr>
        <w:t>sc.pp.neighbors()  +  sc.tl.umap()  +  sc.tl.leiden()</w:t>
      </w:r>
    </w:p>
    <w:tbl>
      <w:tblPr>
        <w:tblStyle w:val="TableGrid"/>
        <w:tblW w:type="auto" w:w="0"/>
        <w:tblLook w:firstColumn="1" w:firstRow="1" w:lastColumn="0" w:lastRow="0" w:noHBand="0" w:noVBand="1" w:val="04A0"/>
      </w:tblPr>
      <w:tblGrid>
        <w:gridCol w:w="9122"/>
      </w:tblGrid>
      <w:tr>
        <w:tc>
          <w:tcPr>
            <w:tcW w:type="dxa" w:w="9122"/>
            <w:shd w:val="clear" w:color="auto" w:fill="D6E4F7"/>
            <w:tcBorders>
              <w:top w:val="single" w:sz="8" w:space="0" w:color="2E5F9A"/>
              <w:left w:val="single" w:sz="8" w:space="0" w:color="2E5F9A"/>
              <w:bottom w:val="single" w:sz="8" w:space="0" w:color="2E5F9A"/>
              <w:right w:val="single" w:sz="8" w:space="0" w:color="2E5F9A"/>
            </w:tcBorders>
            <w:tcMar>
              <w:top w:w="100" w:type="dxa"/>
              <w:left w:w="100" w:type="dxa"/>
              <w:bottom w:w="100" w:type="dxa"/>
              <w:right w:w="100" w:type="dxa"/>
            </w:tcMar>
          </w:tcPr>
          <w:p>
            <w:pPr>
              <w:spacing w:before="60" w:after="60"/>
            </w:pPr>
            <w:r>
              <w:rPr>
                <w:b w:val="0"/>
                <w:color w:val="1A1A44"/>
                <w:sz w:val="20"/>
              </w:rPr>
              <w:t>ℹ  Los dos scripts del proyecto replican estos flujos exactamente. Los cambios documentados en las secciones 4 y 5 no modifican la lógica biológica — solo adaptan la implementación técnica para que sea compatible con las versiones actuales de los paquetes.</w:t>
            </w:r>
          </w:p>
        </w:tc>
      </w:tr>
    </w:tbl>
    <w:p>
      <w:pPr>
        <w:spacing w:after="120"/>
      </w:pP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Pr>
                <w:b/>
                <w:color w:val="FFFFFF"/>
                <w:sz w:val="28"/>
              </w:rPr>
              <w:t xml:space="preserve">   SCRIPT 01 — 01_scanpy_clustering.py</w:t>
            </w:r>
          </w:p>
        </w:tc>
      </w:tr>
    </w:tbl>
    <w:p>
      <w:pPr>
        <w:spacing w:after="80"/>
      </w:pPr>
    </w:p>
    <w:p>
      <w:pPr>
        <w:pStyle w:val="Heading1"/>
        <w:spacing w:before="360" w:after="120"/>
        <w:jc w:val="left"/>
      </w:pPr>
      <w:r>
        <w:rPr>
          <w:b/>
          <w:color w:val="1F3864"/>
          <w:sz w:val="36"/>
        </w:rPr>
        <w:t>4.  Script 01 — Scanpy Clustering</w:t>
      </w:r>
    </w:p>
    <w:p>
      <w:pPr>
        <w:pBdr>
          <w:bottom w:val="single" w:sz="6" w:space="1" w:color="AAAAAA"/>
        </w:pBdr>
        <w:spacing w:after="160"/>
      </w:pPr>
    </w:p>
    <w:p>
      <w:pPr>
        <w:spacing w:after="140" w:before="0"/>
      </w:pPr>
      <w:r>
        <w:rPr>
          <w:sz w:val="21"/>
        </w:rPr>
        <w:t>Este script sigue el tutorial de Scanpy casi al pie de la letra. Los cuatro cambios que se describen a continuación son menores: dos son modernizaciones recomendadas por los propios desarrolladores de scanpy, uno es una extensión biológicamente justificada, y uno es infraestructura no-científica.</w:t>
      </w:r>
    </w:p>
    <w:p>
      <w:pPr>
        <w:pStyle w:val="Heading2"/>
        <w:spacing w:before="240" w:after="120"/>
        <w:jc w:val="left"/>
      </w:pPr>
      <w:r>
        <w:rPr>
          <w:b/>
          <w:color w:val="2E5F9A"/>
          <w:sz w:val="28"/>
        </w:rPr>
        <w:t>4.1  Cambio 1 — Métricas de control de calidad extendidas</w:t>
      </w:r>
    </w:p>
    <w:p>
      <w:pPr>
        <w:spacing w:after="140" w:before="0"/>
      </w:pPr>
      <w:r>
        <w:rPr>
          <w:sz w:val="21"/>
        </w:rPr>
        <w:t>Antes de analizar los datos, es necesario eliminar las células de baja calidad. En scRNA-seq, el control de calidad (QC) se basa en métricas cuantitativas calculadas para cada célula. La métrica clásica es el porcentaje de lecturas mitocondriales.</w:t>
      </w:r>
    </w:p>
    <w:p>
      <w:pPr>
        <w:pStyle w:val="Heading3"/>
        <w:spacing w:before="160" w:after="120"/>
        <w:jc w:val="left"/>
      </w:pPr>
      <w:r>
        <w:rPr>
          <w:b/>
          <w:color w:val="334477"/>
          <w:sz w:val="24"/>
        </w:rPr>
        <w:t>Fundamento biológico del QC mitocondrial</w:t>
      </w:r>
    </w:p>
    <w:p>
      <w:pPr>
        <w:spacing w:after="140" w:before="0"/>
      </w:pPr>
      <w:r>
        <w:rPr>
          <w:sz w:val="21"/>
        </w:rPr>
        <w:t>Cuando una célula muere o se daña durante la disociación del tejido, su membrana plasmática se rompe y el ARN mensajero citoplásmico (que representa la mayoría de los genes) se diluye o degrada en el medio. Sin embargo, las mitocondrias tienen su propia membrana, que es más resistente. El ARN mitocondrial persiste más tiempo. Por eso, una célula con un porcentaje alto de lecturas mitocondriales (&gt;20-30%) se interpreta como una célula dañada o moribunda.</w:t>
      </w:r>
    </w:p>
    <w:p>
      <w:pPr>
        <w:pStyle w:val="Heading3"/>
        <w:spacing w:before="160" w:after="120"/>
        <w:jc w:val="left"/>
      </w:pPr>
      <w:r>
        <w:rPr>
          <w:b/>
          <w:color w:val="334477"/>
          <w:sz w:val="24"/>
        </w:rPr>
        <w:t>¿Qué dice el tutorial original?</w:t>
      </w:r>
    </w:p>
    <w:p>
      <w:pPr>
        <w:spacing w:after="140" w:before="0"/>
      </w:pPr>
      <w:r>
        <w:rPr>
          <w:sz w:val="21"/>
        </w:rPr>
        <w:t>El tutorial solo calcula el porcentaje de genes mitocondriales:</w:t>
      </w:r>
    </w:p>
    <w:p>
      <w:pPr>
        <w:spacing w:after="20" w:before="160"/>
      </w:pPr>
      <w:r>
        <w:rPr>
          <w:b/>
          <w:color w:val="334477"/>
          <w:sz w:val="18"/>
        </w:rPr>
        <w:t xml:space="preserve">  ▶  Tutorial original — solo QC mitocondrial</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Tutorial original — solo genes mitocondriales</w:t>
            </w:r>
          </w:p>
          <w:p>
            <w:pPr>
              <w:spacing w:before="0" w:after="0"/>
            </w:pPr>
            <w:r>
              <w:rPr>
                <w:rFonts w:ascii="Courier New" w:hAnsi="Courier New"/>
                <w:color w:val="1A1A55"/>
                <w:sz w:val="18"/>
              </w:rPr>
              <w:t># En humanos, los genes mitocondriales empiezan con 'MT-'</w:t>
            </w:r>
          </w:p>
          <w:p>
            <w:pPr>
              <w:spacing w:before="0" w:after="0"/>
            </w:pPr>
            <w:r>
              <w:rPr>
                <w:rFonts w:ascii="Courier New" w:hAnsi="Courier New"/>
                <w:color w:val="1A1A55"/>
                <w:sz w:val="18"/>
              </w:rPr>
              <w:t># (MT-CO1, MT-ND1, MT-ATP6, MT-RNR1, etc. — 37 genes en total)</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adata.var['mt'] = adata.var_names.str.startswith('MT-')</w:t>
            </w:r>
          </w:p>
          <w:p>
            <w:pPr>
              <w:spacing w:before="0" w:after="0"/>
            </w:pPr>
            <w:r>
              <w:rPr>
                <w:rFonts w:ascii="Courier New" w:hAnsi="Courier New"/>
                <w:color w:val="1A1A55"/>
                <w:sz w:val="18"/>
              </w:rPr>
              <w:t># var_names = nombres de todos los genes</w:t>
            </w:r>
          </w:p>
          <w:p>
            <w:pPr>
              <w:spacing w:before="0" w:after="0"/>
            </w:pPr>
            <w:r>
              <w:rPr>
                <w:rFonts w:ascii="Courier New" w:hAnsi="Courier New"/>
                <w:color w:val="1A1A55"/>
                <w:sz w:val="18"/>
              </w:rPr>
              <w:t># str.startswith('MT-') = devuelve True/False por cada gen</w:t>
            </w:r>
          </w:p>
          <w:p>
            <w:pPr>
              <w:spacing w:before="0" w:after="0"/>
            </w:pPr>
            <w:r>
              <w:rPr>
                <w:rFonts w:ascii="Courier New" w:hAnsi="Courier New"/>
                <w:color w:val="1A1A55"/>
                <w:sz w:val="18"/>
              </w:rPr>
              <w:t># El resultado: una columna nueva en adata.var llamada 'mt'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sc.pp.calculate_qc_metrics(</w:t>
            </w:r>
          </w:p>
          <w:p>
            <w:pPr>
              <w:spacing w:before="0" w:after="0"/>
            </w:pPr>
            <w:r>
              <w:rPr>
                <w:rFonts w:ascii="Courier New" w:hAnsi="Courier New"/>
                <w:color w:val="1A1A55"/>
                <w:sz w:val="18"/>
              </w:rPr>
              <w:t xml:space="preserve">    adata,</w:t>
            </w:r>
          </w:p>
          <w:p>
            <w:pPr>
              <w:spacing w:before="0" w:after="0"/>
            </w:pPr>
            <w:r>
              <w:rPr>
                <w:rFonts w:ascii="Courier New" w:hAnsi="Courier New"/>
                <w:color w:val="1A1A55"/>
                <w:sz w:val="18"/>
              </w:rPr>
              <w:t xml:space="preserve">    qc_vars=['mt'],   # Solo calcular métricas para genes MT-</w:t>
            </w:r>
          </w:p>
          <w:p>
            <w:pPr>
              <w:spacing w:before="0" w:after="0"/>
            </w:pPr>
            <w:r>
              <w:rPr>
                <w:rFonts w:ascii="Courier New" w:hAnsi="Courier New"/>
                <w:color w:val="1A1A55"/>
                <w:sz w:val="18"/>
              </w:rPr>
              <w:t xml:space="preserve">    inplace=True,     # Guardar los resultados en el mismo adata</w:t>
            </w:r>
          </w:p>
          <w:p>
            <w:pPr>
              <w:spacing w:before="0" w:after="0"/>
            </w:pPr>
            <w:r>
              <w:rPr>
                <w:rFonts w:ascii="Courier New" w:hAnsi="Courier New"/>
                <w:color w:val="1A1A55"/>
                <w:sz w:val="18"/>
              </w:rPr>
              <w:t xml:space="preserve">    log1p=True        # Aplicar log(x+1) para escalar mejor</w:t>
            </w:r>
          </w:p>
          <w:p>
            <w:pPr>
              <w:spacing w:before="0" w:after="0"/>
            </w:pPr>
            <w:r>
              <w:rPr>
                <w:rFonts w:ascii="Courier New" w:hAnsi="Courier New"/>
                <w:color w:val="1A1A55"/>
                <w:sz w:val="18"/>
              </w:rPr>
              <w:t>)</w:t>
            </w:r>
          </w:p>
          <w:p>
            <w:pPr>
              <w:spacing w:before="0" w:after="0"/>
            </w:pPr>
            <w:r>
              <w:rPr>
                <w:rFonts w:ascii="Courier New" w:hAnsi="Courier New"/>
                <w:color w:val="1A1A55"/>
                <w:sz w:val="18"/>
              </w:rPr>
              <w:t># Resultado: adata.obs ahora tiene columna 'pct_counts_mt' por célula</w:t>
            </w:r>
          </w:p>
        </w:tc>
      </w:tr>
    </w:tbl>
    <w:p>
      <w:pPr>
        <w:spacing w:after="120"/>
      </w:pPr>
    </w:p>
    <w:p>
      <w:pPr>
        <w:pStyle w:val="Heading3"/>
        <w:spacing w:before="160" w:after="120"/>
        <w:jc w:val="left"/>
      </w:pPr>
      <w:r>
        <w:rPr>
          <w:b/>
          <w:color w:val="334477"/>
          <w:sz w:val="24"/>
        </w:rPr>
        <w:t>¿Qué hace el script?</w:t>
      </w:r>
    </w:p>
    <w:p>
      <w:pPr>
        <w:spacing w:after="140" w:before="0"/>
      </w:pPr>
      <w:r>
        <w:rPr>
          <w:sz w:val="21"/>
        </w:rPr>
        <w:t>El script agrega dos grupos adicionales: genes ribosomales y genes de hemoglobina.</w:t>
      </w:r>
    </w:p>
    <w:p>
      <w:pPr>
        <w:spacing w:after="20" w:before="160"/>
      </w:pPr>
      <w:r>
        <w:rPr>
          <w:b/>
          <w:color w:val="334477"/>
          <w:sz w:val="18"/>
        </w:rPr>
        <w:t xml:space="preserve">  ▶  Script adaptado — QC extendido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Script adaptado — tres tipos de genes de control de calidad</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1. Genes mitocondriales (igual que el tutorial)</w:t>
            </w:r>
          </w:p>
          <w:p>
            <w:pPr>
              <w:spacing w:before="0" w:after="0"/>
            </w:pPr>
            <w:r>
              <w:rPr>
                <w:rFonts w:ascii="Courier New" w:hAnsi="Courier New"/>
                <w:color w:val="1A1A55"/>
                <w:sz w:val="18"/>
              </w:rPr>
              <w:t>adata.var['mt'] = adata.var_names.str.startswith('MT-')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2. Genes ribosomales — proteínas de los ribosomas</w:t>
            </w:r>
          </w:p>
          <w:p>
            <w:pPr>
              <w:spacing w:before="0" w:after="0"/>
            </w:pPr>
            <w:r>
              <w:rPr>
                <w:rFonts w:ascii="Courier New" w:hAnsi="Courier New"/>
                <w:color w:val="1A1A55"/>
                <w:sz w:val="18"/>
              </w:rPr>
              <w:t>#    RPS = Ribosomal Protein Small subunit (RPS6, RPS11, RPS14...)</w:t>
            </w:r>
          </w:p>
          <w:p>
            <w:pPr>
              <w:spacing w:before="0" w:after="0"/>
            </w:pPr>
            <w:r>
              <w:rPr>
                <w:rFonts w:ascii="Courier New" w:hAnsi="Courier New"/>
                <w:color w:val="1A1A55"/>
                <w:sz w:val="18"/>
              </w:rPr>
              <w:t>#    RPL = Ribosomal Protein Large subunit (RPL5, RPL13, RPL32...)</w:t>
            </w:r>
          </w:p>
          <w:p>
            <w:pPr>
              <w:spacing w:before="0" w:after="0"/>
            </w:pPr>
            <w:r>
              <w:rPr>
                <w:rFonts w:ascii="Courier New" w:hAnsi="Courier New"/>
                <w:color w:val="1A1A55"/>
                <w:sz w:val="18"/>
              </w:rPr>
              <w:t>adata.var['ribo'] = adata.var_names.str.startswith(('RPS', 'RPL'))</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3. Genes de hemoglobina — proteínas de glóbulos rojos</w:t>
            </w:r>
          </w:p>
          <w:p>
            <w:pPr>
              <w:spacing w:before="0" w:after="0"/>
            </w:pPr>
            <w:r>
              <w:rPr>
                <w:rFonts w:ascii="Courier New" w:hAnsi="Courier New"/>
                <w:color w:val="1A1A55"/>
                <w:sz w:val="18"/>
              </w:rPr>
              <w:t>#    HBB, HBA1, HBA2, HBD, HBG1, etc.</w:t>
            </w:r>
          </w:p>
          <w:p>
            <w:pPr>
              <w:spacing w:before="0" w:after="0"/>
            </w:pPr>
            <w:r>
              <w:rPr>
                <w:rFonts w:ascii="Courier New" w:hAnsi="Courier New"/>
                <w:color w:val="1A1A55"/>
                <w:sz w:val="18"/>
              </w:rPr>
              <w:t>#    El patrón '^HB[^(P)]' excluye HBEGF (factor de crecimiento) que empieza con HB</w:t>
            </w:r>
          </w:p>
          <w:p>
            <w:pPr>
              <w:spacing w:before="0" w:after="0"/>
            </w:pPr>
            <w:r>
              <w:rPr>
                <w:rFonts w:ascii="Courier New" w:hAnsi="Courier New"/>
                <w:color w:val="1A1A55"/>
                <w:sz w:val="18"/>
              </w:rPr>
              <w:t>adata.var['hb'] = adata.var_names.str.contains('^HB[^(P)]')</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sc.pp.calculate_qc_metrics(</w:t>
            </w:r>
          </w:p>
          <w:p>
            <w:pPr>
              <w:spacing w:before="0" w:after="0"/>
            </w:pPr>
            <w:r>
              <w:rPr>
                <w:rFonts w:ascii="Courier New" w:hAnsi="Courier New"/>
                <w:color w:val="1A1A55"/>
                <w:sz w:val="18"/>
              </w:rPr>
              <w:t xml:space="preserve">    adata,</w:t>
            </w:r>
          </w:p>
          <w:p>
            <w:pPr>
              <w:spacing w:before="0" w:after="0"/>
            </w:pPr>
            <w:r>
              <w:rPr>
                <w:rFonts w:ascii="Courier New" w:hAnsi="Courier New"/>
                <w:color w:val="1A1A55"/>
                <w:sz w:val="18"/>
              </w:rPr>
              <w:t xml:space="preserve">    qc_vars=['mt', 'ribo', 'hb'],  # Tres métricas ahora</w:t>
            </w:r>
          </w:p>
          <w:p>
            <w:pPr>
              <w:spacing w:before="0" w:after="0"/>
            </w:pPr>
            <w:r>
              <w:rPr>
                <w:rFonts w:ascii="Courier New" w:hAnsi="Courier New"/>
                <w:color w:val="1A1A55"/>
                <w:sz w:val="18"/>
              </w:rPr>
              <w:t xml:space="preserve">    inplace=True,</w:t>
            </w:r>
          </w:p>
          <w:p>
            <w:pPr>
              <w:spacing w:before="0" w:after="0"/>
            </w:pPr>
            <w:r>
              <w:rPr>
                <w:rFonts w:ascii="Courier New" w:hAnsi="Courier New"/>
                <w:color w:val="1A1A55"/>
                <w:sz w:val="18"/>
              </w:rPr>
              <w:t xml:space="preserve">    log1p=True</w:t>
            </w:r>
          </w:p>
          <w:p>
            <w:pPr>
              <w:spacing w:before="0" w:after="0"/>
            </w:pPr>
            <w:r>
              <w:rPr>
                <w:rFonts w:ascii="Courier New" w:hAnsi="Courier New"/>
                <w:color w:val="1A1A55"/>
                <w:sz w:val="18"/>
              </w:rPr>
              <w:t>)</w:t>
            </w:r>
          </w:p>
          <w:p>
            <w:pPr>
              <w:spacing w:before="0" w:after="0"/>
            </w:pPr>
            <w:r>
              <w:rPr>
                <w:rFonts w:ascii="Courier New" w:hAnsi="Courier New"/>
                <w:color w:val="1A1A55"/>
                <w:sz w:val="18"/>
              </w:rPr>
              <w:t># Resultado: adata.obs tiene columnas:</w:t>
            </w:r>
          </w:p>
          <w:p>
            <w:pPr>
              <w:spacing w:before="0" w:after="0"/>
            </w:pPr>
            <w:r>
              <w:rPr>
                <w:rFonts w:ascii="Courier New" w:hAnsi="Courier New"/>
                <w:color w:val="1A1A55"/>
                <w:sz w:val="18"/>
              </w:rPr>
              <w:t>#   pct_counts_mt   (% mitocondrial por célula)</w:t>
            </w:r>
          </w:p>
          <w:p>
            <w:pPr>
              <w:spacing w:before="0" w:after="0"/>
            </w:pPr>
            <w:r>
              <w:rPr>
                <w:rFonts w:ascii="Courier New" w:hAnsi="Courier New"/>
                <w:color w:val="1A1A55"/>
                <w:sz w:val="18"/>
              </w:rPr>
              <w:t>#   pct_counts_ribo (% ribosomal por célula)</w:t>
            </w:r>
          </w:p>
          <w:p>
            <w:pPr>
              <w:spacing w:before="0" w:after="0"/>
            </w:pPr>
            <w:r>
              <w:rPr>
                <w:rFonts w:ascii="Courier New" w:hAnsi="Courier New"/>
                <w:color w:val="1A1A55"/>
                <w:sz w:val="18"/>
              </w:rPr>
              <w:t>#   pct_counts_hb   (% hemoglobina por célula)</w:t>
            </w:r>
          </w:p>
        </w:tc>
      </w:tr>
    </w:tbl>
    <w:p>
      <w:pPr>
        <w:spacing w:after="120"/>
      </w:pPr>
    </w:p>
    <w:p>
      <w:pPr>
        <w:pStyle w:val="Heading3"/>
        <w:spacing w:before="160" w:after="120"/>
        <w:jc w:val="left"/>
      </w:pPr>
      <w:r>
        <w:rPr>
          <w:b/>
          <w:color w:val="334477"/>
          <w:sz w:val="24"/>
        </w:rPr>
        <w:t>¿Por qué agregar ribosomales y hemoglobina?</w:t>
      </w:r>
    </w:p>
    <w:p>
      <w:pPr>
        <w:spacing w:after="140" w:before="0"/>
      </w:pPr>
      <w:r>
        <w:rPr>
          <w:sz w:val="21"/>
        </w:rPr>
        <w:t>El dataset de este tutorial es médula ósea humana, un tejido donde estas dos métricas son especialmente relevantes:</w:t>
      </w:r>
    </w:p>
    <w:p>
      <w:pPr>
        <w:spacing w:after="40" w:before="0"/>
      </w:pPr>
      <w:r>
        <w:rPr>
          <w:b/>
          <w:i w:val="0"/>
          <w:color w:val="2E5F9A"/>
          <w:sz w:val="21"/>
        </w:rPr>
        <w:t xml:space="preserve">Genes ribosomales: </w:t>
      </w:r>
    </w:p>
    <w:p>
      <w:pPr>
        <w:spacing w:after="140" w:before="0"/>
        <w:ind w:left="567"/>
      </w:pPr>
      <w:r>
        <w:rPr>
          <w:sz w:val="21"/>
        </w:rPr>
        <w:t>Un porcentaje muy alto de lecturas ribosomales (&gt;50%) puede indicar que la célula está bajo estrés metabólico intenso (está fabricando muchas proteínas para responder al daño) o que la captura de ARN fue sesgada hacia los transcritos más abundantes, que en células activas suelen ser los ribosomales. No hay un umbral universal; es una métrica exploratoria que el investigador evalúa en contexto.</w:t>
      </w:r>
    </w:p>
    <w:p>
      <w:pPr>
        <w:spacing w:after="40" w:before="0"/>
      </w:pPr>
      <w:r>
        <w:rPr>
          <w:b/>
          <w:i w:val="0"/>
          <w:color w:val="2E5F9A"/>
          <w:sz w:val="21"/>
        </w:rPr>
        <w:t xml:space="preserve">Genes de hemoglobina: </w:t>
      </w:r>
    </w:p>
    <w:p>
      <w:pPr>
        <w:spacing w:after="140" w:before="0"/>
        <w:ind w:left="567"/>
      </w:pPr>
      <w:r>
        <w:rPr>
          <w:sz w:val="21"/>
        </w:rPr>
        <w:t>En muestras de médula ósea, los eritrocitos (glóbulos rojos) y sus precursores son la contaminación más frecuente. Los eritrocitos maduros no tienen núcleo y expresan casi exclusivamente HBB y HBA1 (las cadenas de hemoglobina). Identificar células con alta expresión de genes HB permite al investigador decidir si eliminarlas o analizarlas como un cluster separado (eritroblastos).</w:t>
      </w: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en el flujo automático del pipeline. El script no aplica ningún filtro adicional basado en estas métricas — solo las calcula y las guarda en el AnnData para que el investigador pueda usarlas si lo decide.</w:t>
            </w:r>
          </w:p>
        </w:tc>
      </w:tr>
    </w:tbl>
    <w:p>
      <w:pPr>
        <w:spacing w:after="120"/>
      </w:pPr>
    </w:p>
    <w:p>
      <w:pPr>
        <w:pStyle w:val="Heading2"/>
        <w:spacing w:before="240" w:after="120"/>
        <w:jc w:val="left"/>
      </w:pPr>
      <w:r>
        <w:rPr>
          <w:b/>
          <w:color w:val="2E5F9A"/>
          <w:sz w:val="28"/>
        </w:rPr>
        <w:t>4.2  Cambio 2 — Scrublet integrado en scanpy</w:t>
      </w:r>
    </w:p>
    <w:p>
      <w:pPr>
        <w:pStyle w:val="Heading3"/>
        <w:spacing w:before="160" w:after="120"/>
        <w:jc w:val="left"/>
      </w:pPr>
      <w:r>
        <w:rPr>
          <w:b/>
          <w:color w:val="334477"/>
          <w:sz w:val="24"/>
        </w:rPr>
        <w:t>¿Qué es un doblete y por qué importa?</w:t>
      </w:r>
    </w:p>
    <w:p>
      <w:pPr>
        <w:spacing w:after="140" w:before="0"/>
      </w:pPr>
      <w:r>
        <w:rPr>
          <w:sz w:val="21"/>
        </w:rPr>
        <w:t>En la tecnología de scRNA-seq por gotícula (10X Genomics), cada célula se encapsula en una gotícula de aceite junto con un código de barras único. Ocasionalmente, dos células quedan atrapadas en la misma gotícula. El secuenciador las lee como una sola célula con el doble del ARN normal. Estos 'dobletes' son un artefacto técnico: si no se eliminan, aparecerán como clusters intermedios con perfiles de expresión mixtos (por ejemplo, una 'célula' que parece coexpresar marcadores de monocito y de linfocito T).</w:t>
      </w:r>
    </w:p>
    <w:p>
      <w:pPr>
        <w:spacing w:after="140" w:before="0"/>
      </w:pPr>
      <w:r>
        <w:rPr>
          <w:sz w:val="21"/>
        </w:rPr>
        <w:t>La tasa de dobletes es típicamente del 1-10% y aumenta con la densidad celular en la captura.</w:t>
      </w:r>
    </w:p>
    <w:p>
      <w:pPr>
        <w:pStyle w:val="Heading3"/>
        <w:spacing w:before="160" w:after="120"/>
        <w:jc w:val="left"/>
      </w:pPr>
      <w:r>
        <w:rPr>
          <w:b/>
          <w:color w:val="334477"/>
          <w:sz w:val="24"/>
        </w:rPr>
        <w:t>¿Cómo funciona Scrublet?</w:t>
      </w:r>
    </w:p>
    <w:p>
      <w:pPr>
        <w:spacing w:after="140" w:before="0"/>
      </w:pPr>
      <w:r>
        <w:rPr>
          <w:sz w:val="21"/>
        </w:rPr>
        <w:t>Scrublet genera dobletes artificiales in silico: toma pares de células reales al azar, promedia sus perfiles de expresión, y crea así una población de 'dobletes simulados'. Luego, para cada célula real, calcula qué tan similar es a esos dobletes simulados (usando un embedding en espacio de PCA). Ese score de similitud es el 'doublet score'.</w:t>
      </w:r>
    </w:p>
    <w:p>
      <w:pPr>
        <w:spacing w:after="20" w:before="160"/>
      </w:pPr>
      <w:r>
        <w:rPr>
          <w:b/>
          <w:color w:val="334477"/>
          <w:sz w:val="18"/>
        </w:rPr>
        <w:t xml:space="preserve">  ▶  Lógica interna de Scrublet</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Scrublet en pseudocódigo: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1. Tomar ~10,000 pares de células reales al azar</w:t>
            </w:r>
          </w:p>
          <w:p>
            <w:pPr>
              <w:spacing w:before="0" w:after="0"/>
            </w:pPr>
            <w:r>
              <w:rPr>
                <w:rFonts w:ascii="Courier New" w:hAnsi="Courier New"/>
                <w:color w:val="1A1A55"/>
                <w:sz w:val="18"/>
              </w:rPr>
              <w:t># 2. Para cada par (célula_A, célula_B):</w:t>
            </w:r>
          </w:p>
          <w:p>
            <w:pPr>
              <w:spacing w:before="0" w:after="0"/>
            </w:pPr>
            <w:r>
              <w:rPr>
                <w:rFonts w:ascii="Courier New" w:hAnsi="Courier New"/>
                <w:color w:val="1A1A55"/>
                <w:sz w:val="18"/>
              </w:rPr>
              <w:t>#    doblete_simulado = promedio(expresion_A, expresion_B)</w:t>
            </w:r>
          </w:p>
          <w:p>
            <w:pPr>
              <w:spacing w:before="0" w:after="0"/>
            </w:pPr>
            <w:r>
              <w:rPr>
                <w:rFonts w:ascii="Courier New" w:hAnsi="Courier New"/>
                <w:color w:val="1A1A55"/>
                <w:sz w:val="18"/>
              </w:rPr>
              <w:t># 3. Construir embedding PCA con células reales + dobletes simulados</w:t>
            </w:r>
          </w:p>
          <w:p>
            <w:pPr>
              <w:spacing w:before="0" w:after="0"/>
            </w:pPr>
            <w:r>
              <w:rPr>
                <w:rFonts w:ascii="Courier New" w:hAnsi="Courier New"/>
                <w:color w:val="1A1A55"/>
                <w:sz w:val="18"/>
              </w:rPr>
              <w:t># 4. Para cada célula real: calcular similitud con vecinos dobletes</w:t>
            </w:r>
          </w:p>
          <w:p>
            <w:pPr>
              <w:spacing w:before="0" w:after="0"/>
            </w:pPr>
            <w:r>
              <w:rPr>
                <w:rFonts w:ascii="Courier New" w:hAnsi="Courier New"/>
                <w:color w:val="1A1A55"/>
                <w:sz w:val="18"/>
              </w:rPr>
              <w:t>#    → ese es el 'doublet_score' (0 = claramente singlete, 1 = parece doblete)</w:t>
            </w:r>
          </w:p>
          <w:p>
            <w:pPr>
              <w:spacing w:before="0" w:after="0"/>
            </w:pPr>
            <w:r>
              <w:rPr>
                <w:rFonts w:ascii="Courier New" w:hAnsi="Courier New"/>
                <w:color w:val="1A1A55"/>
                <w:sz w:val="18"/>
              </w:rPr>
              <w:t># 5. Aplicar umbral automático → 'predicted_doublet' = True/False</w:t>
            </w:r>
          </w:p>
        </w:tc>
      </w:tr>
    </w:tbl>
    <w:p>
      <w:pPr>
        <w:spacing w:after="120"/>
      </w:pPr>
    </w:p>
    <w:p>
      <w:pPr>
        <w:pStyle w:val="Heading3"/>
        <w:spacing w:before="160" w:after="120"/>
        <w:jc w:val="left"/>
      </w:pPr>
      <w:r>
        <w:rPr>
          <w:b/>
          <w:color w:val="334477"/>
          <w:sz w:val="24"/>
        </w:rPr>
        <w:t>¿Qué dice el tutorial original?</w:t>
      </w:r>
    </w:p>
    <w:p>
      <w:pPr>
        <w:spacing w:after="20" w:before="160"/>
      </w:pPr>
      <w:r>
        <w:rPr>
          <w:b/>
          <w:color w:val="334477"/>
          <w:sz w:val="18"/>
        </w:rPr>
        <w:t xml:space="preserve">  ▶  Tutorial original — scrublet standalone</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Tutorial original — scrublet como paquete independiente</w:t>
            </w:r>
          </w:p>
          <w:p>
            <w:pPr>
              <w:spacing w:before="0" w:after="0"/>
            </w:pPr>
            <w:r>
              <w:rPr>
                <w:rFonts w:ascii="Courier New" w:hAnsi="Courier New"/>
                <w:color w:val="1A1A55"/>
                <w:sz w:val="18"/>
              </w:rPr>
              <w:t># Requiere: pip install scrublet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import scrublet as scr   # Importar el paquete externo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Crear el objeto Scrublet con la matriz cruda</w:t>
            </w:r>
          </w:p>
          <w:p>
            <w:pPr>
              <w:spacing w:before="0" w:after="0"/>
            </w:pPr>
            <w:r>
              <w:rPr>
                <w:rFonts w:ascii="Courier New" w:hAnsi="Courier New"/>
                <w:color w:val="1A1A55"/>
                <w:sz w:val="18"/>
              </w:rPr>
              <w:t>scrub = scr.Scrublet(adata.X,</w:t>
            </w:r>
          </w:p>
          <w:p>
            <w:pPr>
              <w:spacing w:before="0" w:after="0"/>
            </w:pPr>
            <w:r>
              <w:rPr>
                <w:rFonts w:ascii="Courier New" w:hAnsi="Courier New"/>
                <w:color w:val="1A1A55"/>
                <w:sz w:val="18"/>
              </w:rPr>
              <w:t xml:space="preserve">                     expected_doublet_rate=0.06)  # 6% esperado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Ejecutar el algoritmo</w:t>
            </w:r>
          </w:p>
          <w:p>
            <w:pPr>
              <w:spacing w:before="0" w:after="0"/>
            </w:pPr>
            <w:r>
              <w:rPr>
                <w:rFonts w:ascii="Courier New" w:hAnsi="Courier New"/>
                <w:color w:val="1A1A55"/>
                <w:sz w:val="18"/>
              </w:rPr>
              <w:t>doublet_scores, predicted_doublets = scrub.scrub_doublets()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Agregar los resultados manualmente al AnnData</w:t>
            </w:r>
          </w:p>
          <w:p>
            <w:pPr>
              <w:spacing w:before="0" w:after="0"/>
            </w:pPr>
            <w:r>
              <w:rPr>
                <w:rFonts w:ascii="Courier New" w:hAnsi="Courier New"/>
                <w:color w:val="1A1A55"/>
                <w:sz w:val="18"/>
              </w:rPr>
              <w:t>adata.obs['doublet_score']     = doublet_scores</w:t>
            </w:r>
          </w:p>
          <w:p>
            <w:pPr>
              <w:spacing w:before="0" w:after="0"/>
            </w:pPr>
            <w:r>
              <w:rPr>
                <w:rFonts w:ascii="Courier New" w:hAnsi="Courier New"/>
                <w:color w:val="1A1A55"/>
                <w:sz w:val="18"/>
              </w:rPr>
              <w:t>adata.obs['predicted_doublet'] = predicted_doublets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Problema: no hay forma directa de correr por batch (por muestra)</w:t>
            </w:r>
          </w:p>
        </w:tc>
      </w:tr>
    </w:tbl>
    <w:p>
      <w:pPr>
        <w:spacing w:after="120"/>
      </w:pPr>
    </w:p>
    <w:p>
      <w:pPr>
        <w:pStyle w:val="Heading3"/>
        <w:spacing w:before="160" w:after="120"/>
        <w:jc w:val="left"/>
      </w:pPr>
      <w:r>
        <w:rPr>
          <w:b/>
          <w:color w:val="334477"/>
          <w:sz w:val="24"/>
        </w:rPr>
        <w:t>¿Qué hace el script?</w:t>
      </w:r>
    </w:p>
    <w:p>
      <w:pPr>
        <w:spacing w:after="20" w:before="160"/>
      </w:pPr>
      <w:r>
        <w:rPr>
          <w:b/>
          <w:color w:val="334477"/>
          <w:sz w:val="18"/>
        </w:rPr>
        <w:t xml:space="preserve">  ▶  Script adaptado — scrublet integrado en scanpy</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Script adaptado — scrublet integrado en scanpy (desde v1.9)</w:t>
            </w:r>
          </w:p>
          <w:p>
            <w:pPr>
              <w:spacing w:before="0" w:after="0"/>
            </w:pPr>
            <w:r>
              <w:rPr>
                <w:rFonts w:ascii="Courier New" w:hAnsi="Courier New"/>
                <w:color w:val="1A1A55"/>
                <w:sz w:val="18"/>
              </w:rPr>
              <w:t># No requiere instalar el paquete scrublet por separado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sc.pp.scrublet(</w:t>
            </w:r>
          </w:p>
          <w:p>
            <w:pPr>
              <w:spacing w:before="0" w:after="0"/>
            </w:pPr>
            <w:r>
              <w:rPr>
                <w:rFonts w:ascii="Courier New" w:hAnsi="Courier New"/>
                <w:color w:val="1A1A55"/>
                <w:sz w:val="18"/>
              </w:rPr>
              <w:t xml:space="preserve">    adata,</w:t>
            </w:r>
          </w:p>
          <w:p>
            <w:pPr>
              <w:spacing w:before="0" w:after="0"/>
            </w:pPr>
            <w:r>
              <w:rPr>
                <w:rFonts w:ascii="Courier New" w:hAnsi="Courier New"/>
                <w:color w:val="1A1A55"/>
                <w:sz w:val="18"/>
              </w:rPr>
              <w:t xml:space="preserve">    batch_key='sample',   # &lt;- clave: ejecutar por separado para cada muestra</w:t>
            </w:r>
          </w:p>
          <w:p>
            <w:pPr>
              <w:spacing w:before="0" w:after="0"/>
            </w:pPr>
            <w:r>
              <w:rPr>
                <w:rFonts w:ascii="Courier New" w:hAnsi="Courier New"/>
                <w:color w:val="1A1A55"/>
                <w:sz w:val="18"/>
              </w:rPr>
              <w:t xml:space="preserve">    random_state=0        # semilla para reproducibilidad</w:t>
            </w:r>
          </w:p>
          <w:p>
            <w:pPr>
              <w:spacing w:before="0" w:after="0"/>
            </w:pPr>
            <w:r>
              <w:rPr>
                <w:rFonts w:ascii="Courier New" w:hAnsi="Courier New"/>
                <w:color w:val="1A1A55"/>
                <w:sz w:val="18"/>
              </w:rPr>
              <w: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Los resultados se guardan automáticamente:</w:t>
            </w:r>
          </w:p>
          <w:p>
            <w:pPr>
              <w:spacing w:before="0" w:after="0"/>
            </w:pPr>
            <w:r>
              <w:rPr>
                <w:rFonts w:ascii="Courier New" w:hAnsi="Courier New"/>
                <w:color w:val="1A1A55"/>
                <w:sz w:val="18"/>
              </w:rPr>
              <w:t># adata.obs['doublet_score']      &lt;- score continuo 0-1</w:t>
            </w:r>
          </w:p>
          <w:p>
            <w:pPr>
              <w:spacing w:before="0" w:after="0"/>
            </w:pPr>
            <w:r>
              <w:rPr>
                <w:rFonts w:ascii="Courier New" w:hAnsi="Courier New"/>
                <w:color w:val="1A1A55"/>
                <w:sz w:val="18"/>
              </w:rPr>
              <w:t># adata.obs['predicted_doublet']  &lt;- True/False</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Reportar cuántos se encontraron:</w:t>
            </w:r>
          </w:p>
          <w:p>
            <w:pPr>
              <w:spacing w:before="0" w:after="0"/>
            </w:pPr>
            <w:r>
              <w:rPr>
                <w:rFonts w:ascii="Courier New" w:hAnsi="Courier New"/>
                <w:color w:val="1A1A55"/>
                <w:sz w:val="18"/>
              </w:rPr>
              <w:t>n_doublets = adata.obs['predicted_doublet'].sum()</w:t>
            </w:r>
          </w:p>
          <w:p>
            <w:pPr>
              <w:spacing w:before="0" w:after="0"/>
            </w:pPr>
            <w:r>
              <w:rPr>
                <w:rFonts w:ascii="Courier New" w:hAnsi="Courier New"/>
                <w:color w:val="1A1A55"/>
                <w:sz w:val="18"/>
              </w:rPr>
              <w:t>print(f'Dobletes predichos: {n_doublets} ({100*n_doublets/adata.n_obs:.1f}%)')</w:t>
            </w:r>
          </w:p>
        </w:tc>
      </w:tr>
    </w:tbl>
    <w:p>
      <w:pPr>
        <w:spacing w:after="120"/>
      </w:pPr>
    </w:p>
    <w:p>
      <w:pPr>
        <w:pStyle w:val="Heading3"/>
        <w:spacing w:before="160" w:after="120"/>
        <w:jc w:val="left"/>
      </w:pPr>
      <w:r>
        <w:rPr>
          <w:b/>
          <w:color w:val="334477"/>
          <w:sz w:val="24"/>
        </w:rPr>
        <w:t>Diferencia clave: el parámetro batch_key</w:t>
      </w:r>
    </w:p>
    <w:p>
      <w:pPr>
        <w:spacing w:after="140" w:before="0"/>
      </w:pPr>
      <w:r>
        <w:rPr>
          <w:sz w:val="21"/>
        </w:rPr>
        <w:t>La diferencia más importante no es técnica sino biológica: el parámetro batch_key='sample'. El dataset combina dos muestras de médula ósea (s1d1 y s1d3). Si se corre Scrublet en todas las células juntas, los 'dobletes simulados' se generan mezclando células de ambas muestras — produciendo dobletes inter-muestra que no existen en la realidad (un doblete real solo puede ocurrir dentro de la misma muestra). Esto infla los scores y puede clasificar erróneamente células reales como dobletes.</w:t>
      </w:r>
    </w:p>
    <w:p>
      <w:pPr>
        <w:spacing w:after="20" w:before="160"/>
      </w:pPr>
      <w:r>
        <w:rPr>
          <w:b/>
          <w:color w:val="334477"/>
          <w:sz w:val="18"/>
        </w:rPr>
        <w:t xml:space="preserve">  ▶  Por qué batch_key es importante</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Sin batch_key (incorrecto para datos multi-muestra):</w:t>
            </w:r>
          </w:p>
          <w:p>
            <w:pPr>
              <w:spacing w:before="0" w:after="0"/>
            </w:pPr>
            <w:r>
              <w:rPr>
                <w:rFonts w:ascii="Courier New" w:hAnsi="Courier New"/>
                <w:color w:val="1A1A55"/>
                <w:sz w:val="18"/>
              </w:rPr>
              <w:t># Doblete simulado = promedio(célula de muestra 1, célula de muestra 2)</w:t>
            </w:r>
          </w:p>
          <w:p>
            <w:pPr>
              <w:spacing w:before="0" w:after="0"/>
            </w:pPr>
            <w:r>
              <w:rPr>
                <w:rFonts w:ascii="Courier New" w:hAnsi="Courier New"/>
                <w:color w:val="1A1A55"/>
                <w:sz w:val="18"/>
              </w:rPr>
              <w:t># ← Esto no puede ocurrir en la realidad</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Con batch_key='sample' (correcto):</w:t>
            </w:r>
          </w:p>
          <w:p>
            <w:pPr>
              <w:spacing w:before="0" w:after="0"/>
            </w:pPr>
            <w:r>
              <w:rPr>
                <w:rFonts w:ascii="Courier New" w:hAnsi="Courier New"/>
                <w:color w:val="1A1A55"/>
                <w:sz w:val="18"/>
              </w:rPr>
              <w:t># Para muestra s1d1: simular dobletes solo con células de s1d1</w:t>
            </w:r>
          </w:p>
          <w:p>
            <w:pPr>
              <w:spacing w:before="0" w:after="0"/>
            </w:pPr>
            <w:r>
              <w:rPr>
                <w:rFonts w:ascii="Courier New" w:hAnsi="Courier New"/>
                <w:color w:val="1A1A55"/>
                <w:sz w:val="18"/>
              </w:rPr>
              <w:t># Para muestra s1d3: simular dobletes solo con células de s1d3</w:t>
            </w:r>
          </w:p>
          <w:p>
            <w:pPr>
              <w:spacing w:before="0" w:after="0"/>
            </w:pPr>
            <w:r>
              <w:rPr>
                <w:rFonts w:ascii="Courier New" w:hAnsi="Courier New"/>
                <w:color w:val="1A1A55"/>
                <w:sz w:val="18"/>
              </w:rPr>
              <w:t># ← Refleja la biología real de la captura</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en el algoritmo. El parámetro batch_key corrige el análisis para datos multi-muestra, lo cual es una mejora respecto al tutorial original, no una simplificación.</w:t>
            </w:r>
          </w:p>
        </w:tc>
      </w:tr>
    </w:tbl>
    <w:p>
      <w:pPr>
        <w:spacing w:after="120"/>
      </w:pPr>
    </w:p>
    <w:p>
      <w:pPr>
        <w:pStyle w:val="Heading2"/>
        <w:spacing w:before="240" w:after="120"/>
        <w:jc w:val="left"/>
      </w:pPr>
      <w:r>
        <w:rPr>
          <w:b/>
          <w:color w:val="2E5F9A"/>
          <w:sz w:val="28"/>
        </w:rPr>
        <w:t>4.3  Cambio 3 — Backend igraph para el algoritmo de clustering Leiden</w:t>
      </w:r>
    </w:p>
    <w:p>
      <w:pPr>
        <w:pStyle w:val="Heading3"/>
        <w:spacing w:before="160" w:after="120"/>
        <w:jc w:val="left"/>
      </w:pPr>
      <w:r>
        <w:rPr>
          <w:b/>
          <w:color w:val="334477"/>
          <w:sz w:val="24"/>
        </w:rPr>
        <w:t>¿Qué hace el algoritmo Leiden?</w:t>
      </w:r>
    </w:p>
    <w:p>
      <w:pPr>
        <w:spacing w:after="140" w:before="0"/>
      </w:pPr>
      <w:r>
        <w:rPr>
          <w:sz w:val="21"/>
        </w:rPr>
        <w:t>El algoritmo Leiden identifica comunidades en el grafo de vecinos celulares. El grafo se construye conectando cada célula con sus k vecinos más similares en el espacio de PCA (típicamente k=15). El algoritmo busca grupos de células que estén muy bien conectadas entre sí pero poco conectadas con el resto — esos grupos son los clusters. El parámetro 'resolution' controla la granularidad: valores altos producen más clusters.</w:t>
      </w:r>
    </w:p>
    <w:p>
      <w:pPr>
        <w:pStyle w:val="Heading3"/>
        <w:spacing w:before="160" w:after="120"/>
        <w:jc w:val="left"/>
      </w:pPr>
      <w:r>
        <w:rPr>
          <w:b/>
          <w:color w:val="334477"/>
          <w:sz w:val="24"/>
        </w:rPr>
        <w:t>¿Por qué hay dos implementaciones del mismo algoritmo?</w:t>
      </w:r>
    </w:p>
    <w:p>
      <w:pPr>
        <w:spacing w:after="140" w:before="0"/>
      </w:pPr>
      <w:r>
        <w:rPr>
          <w:sz w:val="21"/>
        </w:rPr>
        <w:t>El algoritmo Leiden fue publicado en 2019 (Traag et al., Nature Communications). Hay dos paquetes de Python que lo implementan:</w:t>
      </w:r>
    </w:p>
    <w:p>
      <w:pPr>
        <w:pStyle w:val="ListBullet"/>
        <w:spacing w:after="60"/>
      </w:pPr>
      <w:r>
        <w:rPr>
          <w:b/>
          <w:sz w:val="21"/>
        </w:rPr>
        <w:t xml:space="preserve">leidenalg: </w:t>
      </w:r>
      <w:r>
        <w:rPr>
          <w:sz w:val="21"/>
        </w:rPr>
      </w:r>
    </w:p>
    <w:p>
      <w:pPr>
        <w:spacing w:after="140" w:before="0"/>
        <w:ind w:left="567"/>
      </w:pPr>
      <w:r>
        <w:rPr>
          <w:sz w:val="21"/>
        </w:rPr>
        <w:t>El paquete original, escrito por el propio Traag. Licencia GPL-3.0. El problema de GPL es que cualquier software que lo use debe también publicar su código fuente bajo GPL. Esto lo hace incompatible con muchos proyectos comerciales y con ciertos gestores de paquetes.</w:t>
      </w:r>
    </w:p>
    <w:p>
      <w:pPr>
        <w:pStyle w:val="ListBullet"/>
        <w:spacing w:after="60"/>
      </w:pPr>
      <w:r>
        <w:rPr>
          <w:b/>
          <w:sz w:val="21"/>
        </w:rPr>
        <w:t xml:space="preserve">igraph: </w:t>
      </w:r>
      <w:r>
        <w:rPr>
          <w:sz w:val="21"/>
        </w:rPr>
      </w:r>
    </w:p>
    <w:p>
      <w:pPr>
        <w:spacing w:after="140" w:before="0"/>
        <w:ind w:left="567"/>
      </w:pPr>
      <w:r>
        <w:rPr>
          <w:sz w:val="21"/>
        </w:rPr>
        <w:t>La librería igraph es una plataforma general para análisis de redes. Implementó Leiden en su módulo de Python. Licencia más permisiva. Los desarrolladores de scanpy adoptaron igraph como backend recomendado a partir de scanpy 1.9 y planean eliminar leidenalg en versiones futuras.</w:t>
      </w:r>
    </w:p>
    <w:p>
      <w:pPr>
        <w:spacing w:after="20" w:before="160"/>
      </w:pPr>
      <w:r>
        <w:rPr>
          <w:b/>
          <w:color w:val="334477"/>
          <w:sz w:val="18"/>
        </w:rPr>
        <w:t xml:space="preserve">  ▶  Tutorial original — advertencia de deprecación</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Tutorial original — sin especificar backend (usa leidenalg por defecto)</w:t>
            </w:r>
          </w:p>
          <w:p>
            <w:pPr>
              <w:spacing w:before="0" w:after="0"/>
            </w:pPr>
            <w:r>
              <w:rPr>
                <w:rFonts w:ascii="Courier New" w:hAnsi="Courier New"/>
                <w:color w:val="1A1A55"/>
                <w:sz w:val="18"/>
              </w:rPr>
              <w:t>sc.tl.leiden(adata, resolution=0.5)</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En versiones nuevas de scanpy esto produce una advertencia:</w:t>
            </w:r>
          </w:p>
          <w:p>
            <w:pPr>
              <w:spacing w:before="0" w:after="0"/>
            </w:pPr>
            <w:r>
              <w:rPr>
                <w:rFonts w:ascii="Courier New" w:hAnsi="Courier New"/>
                <w:color w:val="1A1A55"/>
                <w:sz w:val="18"/>
              </w:rPr>
              <w:t># DeprecationWarning: Using the default backend 'leidenalg' is deprecated.</w:t>
            </w:r>
          </w:p>
          <w:p>
            <w:pPr>
              <w:spacing w:before="0" w:after="0"/>
            </w:pPr>
            <w:r>
              <w:rPr>
                <w:rFonts w:ascii="Courier New" w:hAnsi="Courier New"/>
                <w:color w:val="1A1A55"/>
                <w:sz w:val="18"/>
              </w:rPr>
              <w:t>#   Use flavor='igraph' to suppress this warning and get future compatibility.</w:t>
            </w:r>
          </w:p>
        </w:tc>
      </w:tr>
    </w:tbl>
    <w:p>
      <w:pPr>
        <w:spacing w:after="120"/>
      </w:pPr>
    </w:p>
    <w:p>
      <w:pPr>
        <w:spacing w:after="20" w:before="160"/>
      </w:pPr>
      <w:r>
        <w:rPr>
          <w:b/>
          <w:color w:val="334477"/>
          <w:sz w:val="18"/>
        </w:rPr>
        <w:t xml:space="preserve">  ▶  Script adaptado — tres resoluciones con igraph</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Script adaptado — igraph como backend explícito</w:t>
            </w:r>
          </w:p>
          <w:p>
            <w:pPr>
              <w:spacing w:before="0" w:after="0"/>
            </w:pPr>
            <w:r>
              <w:rPr>
                <w:rFonts w:ascii="Courier New" w:hAnsi="Courier New"/>
                <w:color w:val="1A1A55"/>
                <w:sz w:val="18"/>
              </w:rPr>
              <w:t># Se prueban tres resoluciones para ver la sensibilidad del clustering:</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for resolucion in [0.02, 0.5, 2.0]:</w:t>
            </w:r>
          </w:p>
          <w:p>
            <w:pPr>
              <w:spacing w:before="0" w:after="0"/>
            </w:pPr>
            <w:r>
              <w:rPr>
                <w:rFonts w:ascii="Courier New" w:hAnsi="Courier New"/>
                <w:color w:val="1A1A55"/>
                <w:sz w:val="18"/>
              </w:rPr>
              <w:t xml:space="preserve">    sc.tl.leiden(</w:t>
            </w:r>
          </w:p>
          <w:p>
            <w:pPr>
              <w:spacing w:before="0" w:after="0"/>
            </w:pPr>
            <w:r>
              <w:rPr>
                <w:rFonts w:ascii="Courier New" w:hAnsi="Courier New"/>
                <w:color w:val="1A1A55"/>
                <w:sz w:val="18"/>
              </w:rPr>
              <w:t xml:space="preserve">        adata,</w:t>
            </w:r>
          </w:p>
          <w:p>
            <w:pPr>
              <w:spacing w:before="0" w:after="0"/>
            </w:pPr>
            <w:r>
              <w:rPr>
                <w:rFonts w:ascii="Courier New" w:hAnsi="Courier New"/>
                <w:color w:val="1A1A55"/>
                <w:sz w:val="18"/>
              </w:rPr>
              <w:t xml:space="preserve">        key_added=f'leiden_res_{resolucion:4.2f}',  # nombre de la columna resultado</w:t>
            </w:r>
          </w:p>
          <w:p>
            <w:pPr>
              <w:spacing w:before="0" w:after="0"/>
            </w:pPr>
            <w:r>
              <w:rPr>
                <w:rFonts w:ascii="Courier New" w:hAnsi="Courier New"/>
                <w:color w:val="1A1A55"/>
                <w:sz w:val="18"/>
              </w:rPr>
              <w:t xml:space="preserve">        resolution=resolucion,</w:t>
            </w:r>
          </w:p>
          <w:p>
            <w:pPr>
              <w:spacing w:before="0" w:after="0"/>
            </w:pPr>
            <w:r>
              <w:rPr>
                <w:rFonts w:ascii="Courier New" w:hAnsi="Courier New"/>
                <w:color w:val="1A1A55"/>
                <w:sz w:val="18"/>
              </w:rPr>
              <w:t xml:space="preserve">        flavor='igraph',      # backend recomendado</w:t>
            </w:r>
          </w:p>
          <w:p>
            <w:pPr>
              <w:spacing w:before="0" w:after="0"/>
            </w:pPr>
            <w:r>
              <w:rPr>
                <w:rFonts w:ascii="Courier New" w:hAnsi="Courier New"/>
                <w:color w:val="1A1A55"/>
                <w:sz w:val="18"/>
              </w:rPr>
              <w:t xml:space="preserve">        n_iterations=2,       # dos iteraciones de refinamiento</w:t>
            </w:r>
          </w:p>
          <w:p>
            <w:pPr>
              <w:spacing w:before="0" w:after="0"/>
            </w:pPr>
            <w:r>
              <w:rPr>
                <w:rFonts w:ascii="Courier New" w:hAnsi="Courier New"/>
                <w:color w:val="1A1A55"/>
                <w:sz w:val="18"/>
              </w:rPr>
              <w:t xml:space="preserve">        random_state=0,       # semilla para reproducibilidad</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n_clusters = adata.obs[f'leiden_res_{resolucion:4.2f}'].nunique()</w:t>
            </w:r>
          </w:p>
          <w:p>
            <w:pPr>
              <w:spacing w:before="0" w:after="0"/>
            </w:pPr>
            <w:r>
              <w:rPr>
                <w:rFonts w:ascii="Courier New" w:hAnsi="Courier New"/>
                <w:color w:val="1A1A55"/>
                <w:sz w:val="18"/>
              </w:rPr>
              <w:t xml:space="preserve">    print(f'Resolución {resolucion}: {n_clusters} clusters encontrados')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Ejemplo de salida:</w:t>
            </w:r>
          </w:p>
          <w:p>
            <w:pPr>
              <w:spacing w:before="0" w:after="0"/>
            </w:pPr>
            <w:r>
              <w:rPr>
                <w:rFonts w:ascii="Courier New" w:hAnsi="Courier New"/>
                <w:color w:val="1A1A55"/>
                <w:sz w:val="18"/>
              </w:rPr>
              <w:t># Resolución 0.02:  4 clusters  (muy grueso — tipos celulares principales)</w:t>
            </w:r>
          </w:p>
          <w:p>
            <w:pPr>
              <w:spacing w:before="0" w:after="0"/>
            </w:pPr>
            <w:r>
              <w:rPr>
                <w:rFonts w:ascii="Courier New" w:hAnsi="Courier New"/>
                <w:color w:val="1A1A55"/>
                <w:sz w:val="18"/>
              </w:rPr>
              <w:t># Resolución 0.50: 14 clusters  (medio — subtipos)</w:t>
            </w:r>
          </w:p>
          <w:p>
            <w:pPr>
              <w:spacing w:before="0" w:after="0"/>
            </w:pPr>
            <w:r>
              <w:rPr>
                <w:rFonts w:ascii="Courier New" w:hAnsi="Courier New"/>
                <w:color w:val="1A1A55"/>
                <w:sz w:val="18"/>
              </w:rPr>
              <w:t># Resolución 2.00: 28 clusters  (muy fino — estados celulares)</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MÍNIMO. El algoritmo matemático es el mismo. En la práctica pueden existir pequeñas diferencias en la asignación de células en los bordes entre clusters, pero estas diferencias no son biológicamente significativas.</w:t>
            </w:r>
          </w:p>
        </w:tc>
      </w:tr>
    </w:tbl>
    <w:p>
      <w:pPr>
        <w:spacing w:after="120"/>
      </w:pPr>
    </w:p>
    <w:p>
      <w:pPr>
        <w:pStyle w:val="Heading2"/>
        <w:spacing w:before="240" w:after="120"/>
        <w:jc w:val="left"/>
      </w:pPr>
      <w:r>
        <w:rPr>
          <w:b/>
          <w:color w:val="2E5F9A"/>
          <w:sz w:val="28"/>
        </w:rPr>
        <w:t>4.4  Cambio 4 — Script independiente en lugar de notebook Jupyter</w:t>
      </w:r>
    </w:p>
    <w:p>
      <w:pPr>
        <w:pStyle w:val="Heading3"/>
        <w:spacing w:before="160" w:after="120"/>
        <w:jc w:val="left"/>
      </w:pPr>
      <w:r>
        <w:rPr>
          <w:b/>
          <w:color w:val="334477"/>
          <w:sz w:val="24"/>
        </w:rPr>
        <w:t>¿Qué es un Jupyter Notebook?</w:t>
      </w:r>
    </w:p>
    <w:p>
      <w:pPr>
        <w:spacing w:after="140" w:before="0"/>
      </w:pPr>
      <w:r>
        <w:rPr>
          <w:sz w:val="21"/>
        </w:rPr>
        <w:t>Jupyter es una aplicación web que permite mezclar código y texto en un solo documento interactivo. El investigador ejecuta cada bloque de código ('celda') manualmente y ve el resultado inmediatamente en el navegador. Es excelente para exploración y aprendizaje, pero tiene desventajas para producción:</w:t>
      </w:r>
    </w:p>
    <w:p>
      <w:pPr>
        <w:pStyle w:val="ListBullet"/>
        <w:spacing w:after="60"/>
      </w:pPr>
      <w:r>
        <w:rPr>
          <w:sz w:val="21"/>
        </w:rPr>
        <w:t>No genera un log automático de lo que pasó si hay un error</w:t>
      </w:r>
    </w:p>
    <w:p>
      <w:pPr>
        <w:pStyle w:val="ListBullet"/>
        <w:spacing w:after="60"/>
      </w:pPr>
      <w:r>
        <w:rPr>
          <w:sz w:val="21"/>
        </w:rPr>
        <w:t>Las carpetas de salida se deben crear manualmente</w:t>
      </w:r>
    </w:p>
    <w:p>
      <w:pPr>
        <w:pStyle w:val="ListBullet"/>
        <w:spacing w:after="60"/>
      </w:pPr>
      <w:r>
        <w:rPr>
          <w:sz w:val="21"/>
        </w:rPr>
        <w:t>No es fácil programar su ejecución automática en un servidor</w:t>
      </w:r>
    </w:p>
    <w:p>
      <w:pPr>
        <w:pStyle w:val="ListBullet"/>
        <w:spacing w:after="60"/>
      </w:pPr>
      <w:r>
        <w:rPr>
          <w:sz w:val="21"/>
        </w:rPr>
        <w:t>El estado interno del notebook puede volverse inconsistente si se ejecutan celdas fuera de orden</w:t>
      </w:r>
    </w:p>
    <w:p>
      <w:pPr>
        <w:pStyle w:val="Heading3"/>
        <w:spacing w:before="160" w:after="120"/>
        <w:jc w:val="left"/>
      </w:pPr>
      <w:r>
        <w:rPr>
          <w:b/>
          <w:color w:val="334477"/>
          <w:sz w:val="24"/>
        </w:rPr>
        <w:t>¿Qué hace el script en su lugar?</w:t>
      </w:r>
    </w:p>
    <w:p>
      <w:pPr>
        <w:spacing w:after="140" w:before="0"/>
      </w:pPr>
      <w:r>
        <w:rPr>
          <w:sz w:val="21"/>
        </w:rPr>
        <w:t>El script 01 es un archivo .py que se ejecuta de principio a fin de forma automática. Al iniciarse, crea una carpeta de salida con la fecha y hora exactas de la ejecución:</w:t>
      </w:r>
    </w:p>
    <w:p>
      <w:pPr>
        <w:spacing w:after="20" w:before="160"/>
      </w:pPr>
      <w:r>
        <w:rPr>
          <w:b/>
          <w:color w:val="334477"/>
          <w:sz w:val="18"/>
        </w:rPr>
        <w:t xml:space="preserve">  ▶  Estructura de carpetas de salida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Al iniciar el script, se crea automáticamente:</w:t>
            </w:r>
          </w:p>
          <w:p>
            <w:pPr>
              <w:spacing w:before="0" w:after="0"/>
            </w:pPr>
            <w:r>
              <w:rPr>
                <w:rFonts w:ascii="Courier New" w:hAnsi="Courier New"/>
                <w:color w:val="1A1A55"/>
                <w:sz w:val="18"/>
              </w:rPr>
              <w:t># runs/</w:t>
            </w:r>
          </w:p>
          <w:p>
            <w:pPr>
              <w:spacing w:before="0" w:after="0"/>
            </w:pPr>
            <w:r>
              <w:rPr>
                <w:rFonts w:ascii="Courier New" w:hAnsi="Courier New"/>
                <w:color w:val="1A1A55"/>
                <w:sz w:val="18"/>
              </w:rPr>
              <w:t># └── scanpy_2026-06-12_14-30-05/          ← carpeta de esta ejecución</w:t>
            </w:r>
          </w:p>
          <w:p>
            <w:pPr>
              <w:spacing w:before="0" w:after="0"/>
            </w:pPr>
            <w:r>
              <w:rPr>
                <w:rFonts w:ascii="Courier New" w:hAnsi="Courier New"/>
                <w:color w:val="1A1A55"/>
                <w:sz w:val="18"/>
              </w:rPr>
              <w:t>#     ├── figures/                           ← todas las figuras</w:t>
            </w:r>
          </w:p>
          <w:p>
            <w:pPr>
              <w:spacing w:before="0" w:after="0"/>
            </w:pPr>
            <w:r>
              <w:rPr>
                <w:rFonts w:ascii="Courier New" w:hAnsi="Courier New"/>
                <w:color w:val="1A1A55"/>
                <w:sz w:val="18"/>
              </w:rPr>
              <w:t>#     │   ├── umap_qc_metrics.png</w:t>
            </w:r>
          </w:p>
          <w:p>
            <w:pPr>
              <w:spacing w:before="0" w:after="0"/>
            </w:pPr>
            <w:r>
              <w:rPr>
                <w:rFonts w:ascii="Courier New" w:hAnsi="Courier New"/>
                <w:color w:val="1A1A55"/>
                <w:sz w:val="18"/>
              </w:rPr>
              <w:t>#     │   ├── umap_leiden_resolutions.png</w:t>
            </w:r>
          </w:p>
          <w:p>
            <w:pPr>
              <w:spacing w:before="0" w:after="0"/>
            </w:pPr>
            <w:r>
              <w:rPr>
                <w:rFonts w:ascii="Courier New" w:hAnsi="Courier New"/>
                <w:color w:val="1A1A55"/>
                <w:sz w:val="18"/>
              </w:rPr>
              <w:t>#     │   ├── dotplot_marker_genes.png</w:t>
            </w:r>
          </w:p>
          <w:p>
            <w:pPr>
              <w:spacing w:before="0" w:after="0"/>
            </w:pPr>
            <w:r>
              <w:rPr>
                <w:rFonts w:ascii="Courier New" w:hAnsi="Courier New"/>
                <w:color w:val="1A1A55"/>
                <w:sz w:val="18"/>
              </w:rPr>
              <w:t>#     │   └── ...</w:t>
            </w:r>
          </w:p>
          <w:p>
            <w:pPr>
              <w:spacing w:before="0" w:after="0"/>
            </w:pPr>
            <w:r>
              <w:rPr>
                <w:rFonts w:ascii="Courier New" w:hAnsi="Courier New"/>
                <w:color w:val="1A1A55"/>
                <w:sz w:val="18"/>
              </w:rPr>
              <w:t>#     ├── adata_clustered.h5ad               ← datos finales para siguiente paso</w:t>
            </w:r>
          </w:p>
          <w:p>
            <w:pPr>
              <w:spacing w:before="0" w:after="0"/>
            </w:pPr>
            <w:r>
              <w:rPr>
                <w:rFonts w:ascii="Courier New" w:hAnsi="Courier New"/>
                <w:color w:val="1A1A55"/>
                <w:sz w:val="18"/>
              </w:rPr>
              <w:t>#     ├── diff_expression_top.csv            ← tabla de genes diferenciales</w:t>
            </w:r>
          </w:p>
          <w:p>
            <w:pPr>
              <w:spacing w:before="0" w:after="0"/>
            </w:pPr>
            <w:r>
              <w:rPr>
                <w:rFonts w:ascii="Courier New" w:hAnsi="Courier New"/>
                <w:color w:val="1A1A55"/>
                <w:sz w:val="18"/>
              </w:rPr>
              <w:t>#     └── reporte_tecnico.md                 ← reporte automático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from datetime import datetime</w:t>
            </w:r>
          </w:p>
          <w:p>
            <w:pPr>
              <w:spacing w:before="0" w:after="0"/>
            </w:pPr>
            <w:r>
              <w:rPr>
                <w:rFonts w:ascii="Courier New" w:hAnsi="Courier New"/>
                <w:color w:val="1A1A55"/>
                <w:sz w:val="18"/>
              </w:rPr>
              <w:t>from pathlib import Path</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RUN_TS  = datetime.now().strftime('%Y-%m-%d_%H-%M-%S')</w:t>
            </w:r>
          </w:p>
          <w:p>
            <w:pPr>
              <w:spacing w:before="0" w:after="0"/>
            </w:pPr>
            <w:r>
              <w:rPr>
                <w:rFonts w:ascii="Courier New" w:hAnsi="Courier New"/>
                <w:color w:val="1A1A55"/>
                <w:sz w:val="18"/>
              </w:rPr>
              <w:t>OUT_DIR = Path(f'runs/scanpy_{RUN_TS}')</w:t>
            </w:r>
          </w:p>
          <w:p>
            <w:pPr>
              <w:spacing w:before="0" w:after="0"/>
            </w:pPr>
            <w:r>
              <w:rPr>
                <w:rFonts w:ascii="Courier New" w:hAnsi="Courier New"/>
                <w:color w:val="1A1A55"/>
                <w:sz w:val="18"/>
              </w:rPr>
              <w:t>OUT_DIR.mkdir(parents=True, exist_ok=True)</w:t>
            </w:r>
          </w:p>
        </w:tc>
      </w:tr>
    </w:tbl>
    <w:p>
      <w:pPr>
        <w:spacing w:after="120"/>
      </w:pPr>
    </w:p>
    <w:p>
      <w:pPr>
        <w:spacing w:after="140" w:before="0"/>
      </w:pPr>
      <w:r>
        <w:rPr>
          <w:sz w:val="21"/>
        </w:rPr>
        <w:t>El reporte técnico generado automáticamente contiene:</w:t>
      </w:r>
    </w:p>
    <w:p>
      <w:pPr>
        <w:pStyle w:val="ListBullet"/>
        <w:spacing w:after="60"/>
      </w:pPr>
      <w:r>
        <w:rPr>
          <w:sz w:val="21"/>
        </w:rPr>
        <w:t>Versión exacta de Python y de cada paquete usado en esa ejecución</w:t>
      </w:r>
    </w:p>
    <w:p>
      <w:pPr>
        <w:pStyle w:val="ListBullet"/>
        <w:spacing w:after="60"/>
      </w:pPr>
      <w:r>
        <w:rPr>
          <w:sz w:val="21"/>
        </w:rPr>
        <w:t>Tiempo de ejecución de cada paso (en segundos)</w:t>
      </w:r>
    </w:p>
    <w:p>
      <w:pPr>
        <w:pStyle w:val="ListBullet"/>
        <w:spacing w:after="60"/>
      </w:pPr>
      <w:r>
        <w:rPr>
          <w:sz w:val="21"/>
        </w:rPr>
        <w:t>Número de células y genes antes y después de cada filtro</w:t>
      </w:r>
    </w:p>
    <w:p>
      <w:pPr>
        <w:pStyle w:val="ListBullet"/>
        <w:spacing w:after="60"/>
      </w:pPr>
      <w:r>
        <w:rPr>
          <w:sz w:val="21"/>
        </w:rPr>
        <w:t>Distribución de células por cluster para cada resolución</w:t>
      </w:r>
    </w:p>
    <w:p>
      <w:pPr>
        <w:pStyle w:val="ListBullet"/>
        <w:spacing w:after="60"/>
      </w:pPr>
      <w:r>
        <w:rPr>
          <w:sz w:val="21"/>
        </w:rPr>
        <w:t>Tabla de criterios de validación: valores esperados vs. valores obtenidos</w:t>
      </w:r>
    </w:p>
    <w:p>
      <w:pPr>
        <w:pStyle w:val="ListBullet"/>
        <w:spacing w:after="60"/>
      </w:pPr>
      <w:r>
        <w:rPr>
          <w:sz w:val="21"/>
        </w:rPr>
        <w:t>Si hubo un error: el traceback completo con la línea exacta que falló</w:t>
      </w:r>
    </w:p>
    <w:p>
      <w:pPr>
        <w:spacing w:after="20" w:before="160"/>
      </w:pPr>
      <w:r>
        <w:rPr>
          <w:b/>
          <w:color w:val="334477"/>
          <w:sz w:val="18"/>
        </w:rPr>
        <w:t xml:space="preserve">  ▶  Extracto del reporte técnico automático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Fragmento del reporte técnico generado (reporte_tecnico.md):</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Criterios de validación</w:t>
            </w:r>
          </w:p>
          <w:p>
            <w:pPr>
              <w:spacing w:before="0" w:after="0"/>
            </w:pPr>
            <w:r>
              <w:rPr>
                <w:rFonts w:ascii="Courier New" w:hAnsi="Courier New"/>
                <w:color w:val="1A1A55"/>
                <w:sz w:val="18"/>
              </w:rPr>
              <w:t>| Criterio              | Esperado      | Obtenido | Estado |</w:t>
            </w:r>
          </w:p>
          <w:p>
            <w:pPr>
              <w:spacing w:before="0" w:after="0"/>
            </w:pPr>
            <w:r>
              <w:rPr>
                <w:rFonts w:ascii="Courier New" w:hAnsi="Courier New"/>
                <w:color w:val="1A1A55"/>
                <w:sz w:val="18"/>
              </w:rPr>
              <w:t>|---|---|---|---|</w:t>
            </w:r>
          </w:p>
          <w:p>
            <w:pPr>
              <w:spacing w:before="0" w:after="0"/>
            </w:pPr>
            <w:r>
              <w:rPr>
                <w:rFonts w:ascii="Courier New" w:hAnsi="Courier New"/>
                <w:color w:val="1A1A55"/>
                <w:sz w:val="18"/>
              </w:rPr>
              <w:t>| Células tras filtrado | 10,000-25,000 | 16,934   |   ✓   |</w:t>
            </w:r>
          </w:p>
          <w:p>
            <w:pPr>
              <w:spacing w:before="0" w:after="0"/>
            </w:pPr>
            <w:r>
              <w:rPr>
                <w:rFonts w:ascii="Courier New" w:hAnsi="Courier New"/>
                <w:color w:val="1A1A55"/>
                <w:sz w:val="18"/>
              </w:rPr>
              <w:t>| Genes tras filtrado   | 15,000-40,000 | 28,441   |   ✓   |</w:t>
            </w:r>
          </w:p>
          <w:p>
            <w:pPr>
              <w:spacing w:before="0" w:after="0"/>
            </w:pPr>
            <w:r>
              <w:rPr>
                <w:rFonts w:ascii="Courier New" w:hAnsi="Courier New"/>
                <w:color w:val="1A1A55"/>
                <w:sz w:val="18"/>
              </w:rPr>
              <w:t>| PCA calculado         | Sí            | Sí       |   ✓   |</w:t>
            </w:r>
          </w:p>
          <w:p>
            <w:pPr>
              <w:spacing w:before="0" w:after="0"/>
            </w:pPr>
            <w:r>
              <w:rPr>
                <w:rFonts w:ascii="Courier New" w:hAnsi="Courier New"/>
                <w:color w:val="1A1A55"/>
                <w:sz w:val="18"/>
              </w:rPr>
              <w:t>| UMAP calculado        | Sí            | Sí       |   ✓   |</w:t>
            </w:r>
          </w:p>
          <w:p>
            <w:pPr>
              <w:spacing w:before="0" w:after="0"/>
            </w:pPr>
            <w:r>
              <w:rPr>
                <w:rFonts w:ascii="Courier New" w:hAnsi="Courier New"/>
                <w:color w:val="1A1A55"/>
                <w:sz w:val="18"/>
              </w:rPr>
              <w:t>| Clusters Leiden       | Sí            | Sí       |   ✓   |</w:t>
            </w:r>
          </w:p>
          <w:p>
            <w:pPr>
              <w:spacing w:before="0" w:after="0"/>
            </w:pPr>
            <w:r>
              <w:rPr>
                <w:rFonts w:ascii="Courier New" w:hAnsi="Courier New"/>
                <w:color w:val="1A1A55"/>
                <w:sz w:val="18"/>
              </w:rPr>
              <w:t>| Layer counts crudo    | Sí            | Sí       |   ✓   |</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Las figuras, los datos y los análisis son exactamente los mismos que en el notebook del tutorial. La diferencia es solo en la forma de ejecutar y documentar.</w:t>
            </w:r>
          </w:p>
        </w:tc>
      </w:tr>
    </w:tbl>
    <w:p>
      <w:pPr>
        <w:spacing w:after="120"/>
      </w:pPr>
    </w:p>
    <w:p>
      <w:r>
        <w:br w:type="page"/>
      </w:r>
    </w:p>
    <w:tbl>
      <w:tblPr>
        <w:tblStyle w:val="TableGrid"/>
        <w:tblW w:type="auto" w:w="0"/>
        <w:tblLook w:firstColumn="1" w:firstRow="1" w:lastColumn="0" w:lastRow="0" w:noHBand="0" w:noVBand="1" w:val="04A0"/>
      </w:tblPr>
      <w:tblGrid>
        <w:gridCol w:w="9122"/>
      </w:tblGrid>
      <w:tr>
        <w:tc>
          <w:tcPr>
            <w:tcW w:type="dxa" w:w="9122"/>
            <w:shd w:val="clear" w:color="auto" w:fill="7B0000"/>
            <w:tcBorders>
              <w:top w:val="single" w:sz="4" w:space="0" w:color="7B0000"/>
              <w:left w:val="single" w:sz="4" w:space="0" w:color="7B0000"/>
              <w:bottom w:val="single" w:sz="4" w:space="0" w:color="7B0000"/>
              <w:right w:val="single" w:sz="4" w:space="0" w:color="7B0000"/>
            </w:tcBorders>
          </w:tcPr>
          <w:p>
            <w:pPr>
              <w:spacing w:before="80" w:after="80"/>
            </w:pPr>
            <w:r>
              <w:rPr>
                <w:b/>
                <w:color w:val="FFFFFF"/>
                <w:sz w:val="28"/>
              </w:rPr>
              <w:t xml:space="preserve">   SCRIPT 02 — 02_scenic_pipeline.py</w:t>
            </w:r>
          </w:p>
        </w:tc>
      </w:tr>
    </w:tbl>
    <w:p>
      <w:pPr>
        <w:spacing w:after="80"/>
      </w:pPr>
    </w:p>
    <w:p>
      <w:pPr>
        <w:pStyle w:val="Heading1"/>
        <w:spacing w:before="360" w:after="120"/>
        <w:jc w:val="left"/>
      </w:pPr>
      <w:r>
        <w:rPr>
          <w:b/>
          <w:color w:val="1F3864"/>
          <w:sz w:val="36"/>
        </w:rPr>
        <w:t>5.  Script 02 — pySCENIC Pipeline</w:t>
      </w:r>
    </w:p>
    <w:p>
      <w:pPr>
        <w:pBdr>
          <w:bottom w:val="single" w:sz="6" w:space="1" w:color="AAAAAA"/>
        </w:pBdr>
        <w:spacing w:after="160"/>
      </w:pPr>
    </w:p>
    <w:p>
      <w:pPr>
        <w:spacing w:after="140" w:before="0"/>
      </w:pPr>
      <w:r>
        <w:rPr>
          <w:sz w:val="21"/>
        </w:rPr>
        <w:t>Este script presenta los cambios más sustanciales del proyecto. A diferencia del Script 01, donde los cambios eran modernizaciones opcionales, los cambios del Script 02 son necesarios para que el código corra en absoluto. Sin ellos, el pipeline falla con errores antes de producir ningún resultado.</w:t>
      </w:r>
    </w:p>
    <w:tbl>
      <w:tblPr>
        <w:tblStyle w:val="TableGrid"/>
        <w:tblW w:type="auto" w:w="0"/>
        <w:tblLook w:firstColumn="1" w:firstRow="1" w:lastColumn="0" w:lastRow="0" w:noHBand="0" w:noVBand="1" w:val="04A0"/>
      </w:tblPr>
      <w:tblGrid>
        <w:gridCol w:w="9122"/>
      </w:tblGrid>
      <w:tr>
        <w:tc>
          <w:tcPr>
            <w:tcW w:type="dxa" w:w="9122"/>
            <w:shd w:val="clear" w:color="auto" w:fill="FFF3E0"/>
            <w:tcBorders>
              <w:top w:val="single" w:sz="8" w:space="0" w:color="E65100"/>
              <w:left w:val="single" w:sz="8" w:space="0" w:color="E65100"/>
              <w:bottom w:val="single" w:sz="8" w:space="0" w:color="E65100"/>
              <w:right w:val="single" w:sz="8" w:space="0" w:color="E65100"/>
            </w:tcBorders>
            <w:tcMar>
              <w:top w:w="100" w:type="dxa"/>
              <w:left w:w="100" w:type="dxa"/>
              <w:bottom w:w="100" w:type="dxa"/>
              <w:right w:w="100" w:type="dxa"/>
            </w:tcMar>
          </w:tcPr>
          <w:p>
            <w:pPr>
              <w:spacing w:before="60" w:after="60"/>
            </w:pPr>
            <w:r>
              <w:rPr>
                <w:b/>
                <w:color w:val="1A1A44"/>
                <w:sz w:val="20"/>
              </w:rPr>
              <w:t>⚠  ATENCIÓN:  Las secciones 5.1 y 5.2 describen los dos cambios críticos: GRNBoost2 y AUCell. Estos son los únicos cambios donde la herramienta original fue sustituida por una alternativa. Es importante leer la explicación de impacto biológico en cada uno.</w:t>
            </w:r>
          </w:p>
        </w:tc>
      </w:tr>
    </w:tbl>
    <w:p>
      <w:pPr>
        <w:spacing w:after="120"/>
      </w:pPr>
    </w:p>
    <w:p>
      <w:pPr>
        <w:pStyle w:val="Heading2"/>
        <w:spacing w:before="240" w:after="120"/>
        <w:jc w:val="left"/>
      </w:pPr>
      <w:r>
        <w:rPr>
          <w:b/>
          <w:color w:val="2E5F9A"/>
          <w:sz w:val="28"/>
        </w:rPr>
        <w:t>5.1  Cambio 1 (CRÍTICO) — GRNBoost2: arboreto/dask → sklearn</w:t>
      </w:r>
    </w:p>
    <w:p>
      <w:pPr>
        <w:pStyle w:val="Heading3"/>
        <w:spacing w:before="160" w:after="120"/>
        <w:jc w:val="left"/>
      </w:pPr>
      <w:r>
        <w:rPr>
          <w:b/>
          <w:color w:val="334477"/>
          <w:sz w:val="24"/>
        </w:rPr>
        <w:t>¿Qué hace GRNBoost2 biológicamente?</w:t>
      </w:r>
    </w:p>
    <w:p>
      <w:pPr>
        <w:spacing w:after="140" w:before="0"/>
      </w:pPr>
      <w:r>
        <w:rPr>
          <w:sz w:val="21"/>
        </w:rPr>
        <w:t>GRNBoost2 es el primer paso del pipeline SCENIC y el más computacionalmente intensivo. Su función es construir un mapa de relaciones entre factores de transcripción (TFs) y sus genes objetivo, usando únicamente los datos de expresión génica como evidencia.</w:t>
      </w:r>
    </w:p>
    <w:p>
      <w:pPr>
        <w:spacing w:after="140" w:before="0"/>
      </w:pPr>
      <w:r>
        <w:rPr>
          <w:sz w:val="21"/>
        </w:rPr>
        <w:t>El enfoque es estadístico, no biológico directo: el algoritmo no 'sabe' nada de biología. Solo busca patrones de co-expresión entre TFs y genes. Un TF cuya expresión co-varía fuertemente con la de un gen en todas las células se considera candidato a regulador de ese gen.</w:t>
      </w:r>
    </w:p>
    <w:p>
      <w:pPr>
        <w:spacing w:after="140" w:before="0"/>
      </w:pPr>
      <w:r>
        <w:rPr>
          <w:sz w:val="21"/>
        </w:rPr>
        <w:t>La lógica matemática es: si GATA1 (un TF conocido de eritropoyesis) es un buen predictor de la expresión de HBB (beta-hemoglobina) — es decir, las células con más GATA1 también tienen más HBB — entonces GATA1 probablemente regula HBB. Esto es coherente con la biología conocida, donde GATA1 es el TF maestro de la diferenciación eritroide.</w:t>
      </w:r>
    </w:p>
    <w:p>
      <w:pPr>
        <w:pStyle w:val="Heading3"/>
        <w:spacing w:before="160" w:after="120"/>
        <w:jc w:val="left"/>
      </w:pPr>
      <w:r>
        <w:rPr>
          <w:b/>
          <w:color w:val="334477"/>
          <w:sz w:val="24"/>
        </w:rPr>
        <w:t>¿Cómo implementa el protocolo original este cálculo?</w:t>
      </w:r>
    </w:p>
    <w:p>
      <w:pPr>
        <w:spacing w:after="140" w:before="0"/>
      </w:pPr>
      <w:r>
        <w:rPr>
          <w:sz w:val="21"/>
        </w:rPr>
        <w:t>El protocolo SCENIC original usa una cadena de dos paquetes:</w:t>
      </w:r>
    </w:p>
    <w:p>
      <w:pPr>
        <w:spacing w:after="20" w:before="160"/>
      </w:pPr>
      <w:r>
        <w:rPr>
          <w:b/>
          <w:color w:val="334477"/>
          <w:sz w:val="18"/>
        </w:rPr>
        <w:t xml:space="preserve">  ▶  Tutorial original — uso de pyscenic grn</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Cadena de dependencias del protocolo original:</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pySCENIC  ──usa──&gt;  arboreto  ──usa──&gt;  dask</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pySCENIC: el paquete que el usuario invoca</w:t>
            </w:r>
          </w:p>
          <w:p>
            <w:pPr>
              <w:spacing w:before="0" w:after="0"/>
            </w:pPr>
            <w:r>
              <w:rPr>
                <w:rFonts w:ascii="Courier New" w:hAnsi="Courier New"/>
                <w:color w:val="1A1A55"/>
                <w:sz w:val="18"/>
              </w:rPr>
              <w:t># - arboreto: implementa GRNBoost2 (el algoritmo de gradient boosting)</w:t>
            </w:r>
          </w:p>
          <w:p>
            <w:pPr>
              <w:spacing w:before="0" w:after="0"/>
            </w:pPr>
            <w:r>
              <w:rPr>
                <w:rFonts w:ascii="Courier New" w:hAnsi="Courier New"/>
                <w:color w:val="1A1A55"/>
                <w:sz w:val="18"/>
              </w:rPr>
              <w:t># - dask: framework de computación paralela</w:t>
            </w:r>
          </w:p>
          <w:p>
            <w:pPr>
              <w:spacing w:before="0" w:after="0"/>
            </w:pPr>
            <w:r>
              <w:rPr>
                <w:rFonts w:ascii="Courier New" w:hAnsi="Courier New"/>
                <w:color w:val="1A1A55"/>
                <w:sz w:val="18"/>
              </w:rPr>
              <w:t>#         distribuye el cálculo en múltiples núcleos simultáneamente</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Así se invocaba en el tutorial original (en la terminal):</w:t>
            </w:r>
          </w:p>
          <w:p>
            <w:pPr>
              <w:spacing w:before="0" w:after="0"/>
            </w:pPr>
            <w:r>
              <w:rPr>
                <w:rFonts w:ascii="Courier New" w:hAnsi="Courier New"/>
                <w:color w:val="1A1A55"/>
                <w:sz w:val="18"/>
              </w:rPr>
              <w:t>pyscenic grn \</w:t>
            </w:r>
          </w:p>
          <w:p>
            <w:pPr>
              <w:spacing w:before="0" w:after="0"/>
            </w:pPr>
            <w:r>
              <w:rPr>
                <w:rFonts w:ascii="Courier New" w:hAnsi="Courier New"/>
                <w:color w:val="1A1A55"/>
                <w:sz w:val="18"/>
              </w:rPr>
              <w:t xml:space="preserve">    expr_mat.loom \          # matriz de expresión</w:t>
            </w:r>
          </w:p>
          <w:p>
            <w:pPr>
              <w:spacing w:before="0" w:after="0"/>
            </w:pPr>
            <w:r>
              <w:rPr>
                <w:rFonts w:ascii="Courier New" w:hAnsi="Courier New"/>
                <w:color w:val="1A1A55"/>
                <w:sz w:val="18"/>
              </w:rPr>
              <w:t xml:space="preserve">    TFs_humanos.txt \        # lista de TFs conocidos</w:t>
            </w:r>
          </w:p>
          <w:p>
            <w:pPr>
              <w:spacing w:before="0" w:after="0"/>
            </w:pPr>
            <w:r>
              <w:rPr>
                <w:rFonts w:ascii="Courier New" w:hAnsi="Courier New"/>
                <w:color w:val="1A1A55"/>
                <w:sz w:val="18"/>
              </w:rPr>
              <w:t xml:space="preserve">    -o adjacencies.tsv \     # archivo de salida</w:t>
            </w:r>
          </w:p>
          <w:p>
            <w:pPr>
              <w:spacing w:before="0" w:after="0"/>
            </w:pPr>
            <w:r>
              <w:rPr>
                <w:rFonts w:ascii="Courier New" w:hAnsi="Courier New"/>
                <w:color w:val="1A1A55"/>
                <w:sz w:val="18"/>
              </w:rPr>
              <w:t xml:space="preserve">    --num_workers 8           # usar 8 núcleos en paralelo</w:t>
            </w:r>
          </w:p>
        </w:tc>
      </w:tr>
    </w:tbl>
    <w:p>
      <w:pPr>
        <w:spacing w:after="120"/>
      </w:pPr>
    </w:p>
    <w:p>
      <w:pPr>
        <w:pStyle w:val="Heading3"/>
        <w:spacing w:before="160" w:after="120"/>
        <w:jc w:val="left"/>
      </w:pPr>
      <w:r>
        <w:rPr>
          <w:b/>
          <w:color w:val="334477"/>
          <w:sz w:val="24"/>
        </w:rPr>
        <w:t>¿Qué pasó con dask?</w:t>
      </w:r>
    </w:p>
    <w:p>
      <w:pPr>
        <w:spacing w:after="140" w:before="0"/>
      </w:pPr>
      <w:r>
        <w:rPr>
          <w:sz w:val="21"/>
        </w:rPr>
        <w:t>En 2024, el equipo de desarrollo de dask realizó una reestructuración interna importante de su módulo dask.dataframe. Como parte de esa reestructuración, eliminaron un submódulo llamado 'multi'. Arboreto, que había sido escrito en 2018-2020, importaba ese submódulo en su código fuente. El resultado: arboreto dejó de funcionar en cualquier entorno con una versión reciente de dask.</w:t>
      </w:r>
    </w:p>
    <w:p>
      <w:pPr>
        <w:spacing w:after="20" w:before="160"/>
      </w:pPr>
      <w:r>
        <w:rPr>
          <w:b/>
          <w:color w:val="334477"/>
          <w:sz w:val="18"/>
        </w:rPr>
        <w:t xml:space="preserve">  ▶  Error al usar arboreto con dask moderno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El error exacto que aparece al intentar usar arboreto con dask &gt;= 2024:</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Traceback (most recent call last):</w:t>
            </w:r>
          </w:p>
          <w:p>
            <w:pPr>
              <w:spacing w:before="0" w:after="0"/>
            </w:pPr>
            <w:r>
              <w:rPr>
                <w:rFonts w:ascii="Courier New" w:hAnsi="Courier New"/>
                <w:color w:val="1A1A55"/>
                <w:sz w:val="18"/>
              </w:rPr>
              <w:t xml:space="preserve">  File 'arboreto/algo.py', line 12, in &lt;module&gt;</w:t>
            </w:r>
          </w:p>
          <w:p>
            <w:pPr>
              <w:spacing w:before="0" w:after="0"/>
            </w:pPr>
            <w:r>
              <w:rPr>
                <w:rFonts w:ascii="Courier New" w:hAnsi="Courier New"/>
                <w:color w:val="1A1A55"/>
                <w:sz w:val="18"/>
              </w:rPr>
              <w:t xml:space="preserve">    from dask.dataframe import multi</w:t>
            </w:r>
          </w:p>
          <w:p>
            <w:pPr>
              <w:spacing w:before="0" w:after="0"/>
            </w:pPr>
            <w:r>
              <w:rPr>
                <w:rFonts w:ascii="Courier New" w:hAnsi="Courier New"/>
                <w:color w:val="1A1A55"/>
                <w:sz w:val="18"/>
              </w:rPr>
              <w:t>ImportError: cannot import name 'multi' from 'dask.dataframe'</w:t>
            </w:r>
          </w:p>
          <w:p>
            <w:pPr>
              <w:spacing w:before="0" w:after="0"/>
            </w:pPr>
            <w:r>
              <w:rPr>
                <w:rFonts w:ascii="Courier New" w:hAnsi="Courier New"/>
                <w:color w:val="1A1A55"/>
                <w:sz w:val="18"/>
              </w:rPr>
              <w:t xml:space="preserve">  (located at /usr/lib/python3.10/site-packages/dask/dataframe/__init__.py)</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Traducción al español:</w:t>
            </w:r>
          </w:p>
          <w:p>
            <w:pPr>
              <w:spacing w:before="0" w:after="0"/>
            </w:pPr>
            <w:r>
              <w:rPr>
                <w:rFonts w:ascii="Courier New" w:hAnsi="Courier New"/>
                <w:color w:val="1A1A55"/>
                <w:sz w:val="18"/>
              </w:rPr>
              <w:t># arboreto intentó cargar una parte de dask llamada 'multi'</w:t>
            </w:r>
          </w:p>
          <w:p>
            <w:pPr>
              <w:spacing w:before="0" w:after="0"/>
            </w:pPr>
            <w:r>
              <w:rPr>
                <w:rFonts w:ascii="Courier New" w:hAnsi="Courier New"/>
                <w:color w:val="1A1A55"/>
                <w:sz w:val="18"/>
              </w:rPr>
              <w:t># pero esa parte ya no existe en las versiones nuevas de dask.</w:t>
            </w:r>
          </w:p>
          <w:p>
            <w:pPr>
              <w:spacing w:before="0" w:after="0"/>
            </w:pPr>
            <w:r>
              <w:rPr>
                <w:rFonts w:ascii="Courier New" w:hAnsi="Courier New"/>
                <w:color w:val="1A1A55"/>
                <w:sz w:val="18"/>
              </w:rPr>
              <w:t># El error ocurre incluso antes de correr ningún análisis.</w:t>
            </w:r>
          </w:p>
        </w:tc>
      </w:tr>
    </w:tbl>
    <w:p>
      <w:pPr>
        <w:spacing w:after="120"/>
      </w:pPr>
    </w:p>
    <w:p>
      <w:pPr>
        <w:spacing w:after="140" w:before="0"/>
      </w:pPr>
      <w:r>
        <w:rPr>
          <w:sz w:val="21"/>
        </w:rPr>
        <w:t>El paquete arboreto lleva desde 2021 sin actualizaciones en GitHub. No hay versión compatible con dask moderno. El error no tiene solución posible con arboreto.</w:t>
      </w:r>
    </w:p>
    <w:p>
      <w:pPr>
        <w:pStyle w:val="Heading3"/>
        <w:spacing w:before="160" w:after="120"/>
        <w:jc w:val="left"/>
      </w:pPr>
      <w:r>
        <w:rPr>
          <w:b/>
          <w:color w:val="334477"/>
          <w:sz w:val="24"/>
        </w:rPr>
        <w:t>¿Cómo se resolvió?</w:t>
      </w:r>
    </w:p>
    <w:p>
      <w:pPr>
        <w:spacing w:after="140" w:before="0"/>
      </w:pPr>
      <w:r>
        <w:rPr>
          <w:sz w:val="21"/>
        </w:rPr>
        <w:t>Se reemplazó arboreto/dask por scikit-learn, la librería de aprendizaje automático más usada y mejor mantenida en Python. scikit-learn implementa el mismo algoritmo Gradient Boosting (GradientBoostingRegressor) sin depender de dask.</w:t>
      </w:r>
    </w:p>
    <w:p>
      <w:pPr>
        <w:spacing w:after="140" w:before="0"/>
      </w:pPr>
      <w:r>
        <w:rPr>
          <w:sz w:val="21"/>
        </w:rPr>
        <w:t>El protocolo implementado en el script es equivalente al de arboreto: para cada gen objetivo, se entrena un modelo de Gradient Boosting que predice su expresión a partir de la expresión de los TFs, y se extraen las importancias.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8B0000"/>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19"/>
              </w:rPr>
              <w:t>✗  Protocolo original con arboreto (falla)</w:t>
            </w:r>
          </w:p>
        </w:tc>
        <w:tc>
          <w:tcPr>
            <w:tcW w:type="dxa" w:w="4561"/>
            <w:shd w:val="clear" w:color="auto" w:fill="1A5C2A"/>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19"/>
              </w:rPr>
              <w:t>✓  Script adaptado con sklearn (funciona)</w:t>
            </w:r>
          </w:p>
        </w:tc>
      </w:tr>
      <w:tr>
        <w:tc>
          <w:tcPr>
            <w:tcW w:type="dxa" w:w="4561"/>
            <w:shd w:val="clear" w:color="auto" w:fill="FEF0EE"/>
            <w:tcBorders>
              <w:top w:val="single" w:sz="4" w:space="0" w:color="8B0000"/>
              <w:left w:val="single" w:sz="4" w:space="0" w:color="8B0000"/>
              <w:bottom w:val="single" w:sz="4" w:space="0" w:color="8B0000"/>
              <w:right w:val="single" w:sz="4" w:space="0" w:color="8B0000"/>
            </w:tcBorders>
          </w:tcPr>
          <w:p>
            <w:pPr>
              <w:spacing w:before="20" w:after="20"/>
            </w:pPr>
            <w:r>
              <w:rPr>
                <w:rFonts w:ascii="Courier New" w:hAnsi="Courier New"/>
                <w:color w:val="550000"/>
                <w:sz w:val="17"/>
              </w:rPr>
              <w:t>from arboreto.algo import grnboost2</w:t>
            </w:r>
          </w:p>
          <w:p>
            <w:pPr>
              <w:spacing w:before="20" w:after="20"/>
            </w:pPr>
            <w:r>
              <w:rPr>
                <w:rFonts w:ascii="Courier New" w:hAnsi="Courier New"/>
                <w:color w:val="550000"/>
                <w:sz w:val="17"/>
              </w:rPr>
              <w:t>from arboreto.utils import load_tf_names</w:t>
            </w:r>
          </w:p>
          <w:p>
            <w:pPr>
              <w:spacing w:before="20" w:after="20"/>
            </w:pPr>
            <w:r>
              <w:rPr>
                <w:rFonts w:ascii="Courier New" w:hAnsi="Courier New"/>
                <w:color w:val="550000"/>
                <w:sz w:val="17"/>
              </w:rPr>
              <w:t>from distributed import Client</w:t>
            </w:r>
          </w:p>
          <w:p>
            <w:pPr>
              <w:spacing w:before="20" w:after="20"/>
            </w:pPr>
            <w:r>
              <w:rPr>
                <w:rFonts w:ascii="Courier New" w:hAnsi="Courier New"/>
                <w:color w:val="550000"/>
                <w:sz w:val="17"/>
              </w:rPr>
              <w:t xml:space="preserve"> </w:t>
            </w:r>
          </w:p>
          <w:p>
            <w:pPr>
              <w:spacing w:before="20" w:after="20"/>
            </w:pPr>
            <w:r>
              <w:rPr>
                <w:rFonts w:ascii="Courier New" w:hAnsi="Courier New"/>
                <w:color w:val="550000"/>
                <w:sz w:val="17"/>
              </w:rPr>
              <w:t># Iniciar cliente dask</w:t>
            </w:r>
          </w:p>
          <w:p>
            <w:pPr>
              <w:spacing w:before="20" w:after="20"/>
            </w:pPr>
            <w:r>
              <w:rPr>
                <w:rFonts w:ascii="Courier New" w:hAnsi="Courier New"/>
                <w:color w:val="550000"/>
                <w:sz w:val="17"/>
              </w:rPr>
              <w:t>client = Client(n_workers=8)</w:t>
            </w:r>
          </w:p>
          <w:p>
            <w:pPr>
              <w:spacing w:before="20" w:after="20"/>
            </w:pPr>
            <w:r>
              <w:rPr>
                <w:rFonts w:ascii="Courier New" w:hAnsi="Courier New"/>
                <w:color w:val="550000"/>
                <w:sz w:val="17"/>
              </w:rPr>
              <w:t xml:space="preserve"> </w:t>
            </w:r>
          </w:p>
          <w:p>
            <w:pPr>
              <w:spacing w:before="20" w:after="20"/>
            </w:pPr>
            <w:r>
              <w:rPr>
                <w:rFonts w:ascii="Courier New" w:hAnsi="Courier New"/>
                <w:color w:val="550000"/>
                <w:sz w:val="17"/>
              </w:rPr>
              <w:t># Cargar TFs y correr GRNBoost2</w:t>
            </w:r>
          </w:p>
          <w:p>
            <w:pPr>
              <w:spacing w:before="20" w:after="20"/>
            </w:pPr>
            <w:r>
              <w:rPr>
                <w:rFonts w:ascii="Courier New" w:hAnsi="Courier New"/>
                <w:color w:val="550000"/>
                <w:sz w:val="17"/>
              </w:rPr>
              <w:t>tf_names = load_tf_names('TFs.txt')</w:t>
            </w:r>
          </w:p>
          <w:p>
            <w:pPr>
              <w:spacing w:before="20" w:after="20"/>
            </w:pPr>
            <w:r>
              <w:rPr>
                <w:rFonts w:ascii="Courier New" w:hAnsi="Courier New"/>
                <w:color w:val="550000"/>
                <w:sz w:val="17"/>
              </w:rPr>
              <w:t>network = grnboost2(</w:t>
            </w:r>
          </w:p>
          <w:p>
            <w:pPr>
              <w:spacing w:before="20" w:after="20"/>
            </w:pPr>
            <w:r>
              <w:rPr>
                <w:rFonts w:ascii="Courier New" w:hAnsi="Courier New"/>
                <w:color w:val="550000"/>
                <w:sz w:val="17"/>
              </w:rPr>
              <w:t xml:space="preserve">    expression_data=ex_matrix,</w:t>
            </w:r>
          </w:p>
          <w:p>
            <w:pPr>
              <w:spacing w:before="20" w:after="20"/>
            </w:pPr>
            <w:r>
              <w:rPr>
                <w:rFonts w:ascii="Courier New" w:hAnsi="Courier New"/>
                <w:color w:val="550000"/>
                <w:sz w:val="17"/>
              </w:rPr>
              <w:t xml:space="preserve">    tf_names=tf_names,</w:t>
            </w:r>
          </w:p>
          <w:p>
            <w:pPr>
              <w:spacing w:before="20" w:after="20"/>
            </w:pPr>
            <w:r>
              <w:rPr>
                <w:rFonts w:ascii="Courier New" w:hAnsi="Courier New"/>
                <w:color w:val="550000"/>
                <w:sz w:val="17"/>
              </w:rPr>
              <w:t xml:space="preserve">    client_or_address=client</w:t>
            </w:r>
          </w:p>
          <w:p>
            <w:pPr>
              <w:spacing w:before="20" w:after="20"/>
            </w:pPr>
            <w:r>
              <w:rPr>
                <w:rFonts w:ascii="Courier New" w:hAnsi="Courier New"/>
                <w:color w:val="550000"/>
                <w:sz w:val="17"/>
              </w:rPr>
              <w:t>)</w:t>
            </w:r>
          </w:p>
          <w:p>
            <w:pPr>
              <w:spacing w:before="20" w:after="20"/>
            </w:pPr>
            <w:r>
              <w:rPr>
                <w:rFonts w:ascii="Courier New" w:hAnsi="Courier New"/>
                <w:color w:val="550000"/>
                <w:sz w:val="17"/>
              </w:rPr>
              <w:t># ERROR: ImportError dask.dataframe.multi</w:t>
            </w:r>
          </w:p>
        </w:tc>
        <w:tc>
          <w:tcPr>
            <w:tcW w:type="dxa" w:w="4561"/>
            <w:shd w:val="clear" w:color="auto" w:fill="EDFAEF"/>
            <w:tcBorders>
              <w:top w:val="single" w:sz="4" w:space="0" w:color="1A5C2A"/>
              <w:left w:val="single" w:sz="4" w:space="0" w:color="1A5C2A"/>
              <w:bottom w:val="single" w:sz="4" w:space="0" w:color="1A5C2A"/>
              <w:right w:val="single" w:sz="4" w:space="0" w:color="1A5C2A"/>
            </w:tcBorders>
          </w:tcPr>
          <w:p>
            <w:pPr>
              <w:spacing w:before="20" w:after="20"/>
            </w:pPr>
            <w:r>
              <w:rPr>
                <w:rFonts w:ascii="Courier New" w:hAnsi="Courier New"/>
                <w:color w:val="004400"/>
                <w:sz w:val="17"/>
              </w:rPr>
              <w:t>from sklearn.ensemble import \</w:t>
            </w:r>
          </w:p>
          <w:p>
            <w:pPr>
              <w:spacing w:before="20" w:after="20"/>
            </w:pPr>
            <w:r>
              <w:rPr>
                <w:rFonts w:ascii="Courier New" w:hAnsi="Courier New"/>
                <w:color w:val="004400"/>
                <w:sz w:val="17"/>
              </w:rPr>
              <w:t xml:space="preserve">    GradientBoostingRegressor</w:t>
            </w:r>
          </w:p>
          <w:p>
            <w:pPr>
              <w:spacing w:before="20" w:after="20"/>
            </w:pPr>
            <w:r>
              <w:rPr>
                <w:rFonts w:ascii="Courier New" w:hAnsi="Courier New"/>
                <w:color w:val="004400"/>
                <w:sz w:val="17"/>
              </w:rPr>
              <w:t xml:space="preserve"> </w:t>
            </w:r>
          </w:p>
          <w:p>
            <w:pPr>
              <w:spacing w:before="20" w:after="20"/>
            </w:pPr>
            <w:r>
              <w:rPr>
                <w:rFonts w:ascii="Courier New" w:hAnsi="Courier New"/>
                <w:color w:val="004400"/>
                <w:sz w:val="17"/>
              </w:rPr>
              <w:t># Para cada gen objetivo:</w:t>
            </w:r>
          </w:p>
          <w:p>
            <w:pPr>
              <w:spacing w:before="20" w:after="20"/>
            </w:pPr>
            <w:r>
              <w:rPr>
                <w:rFonts w:ascii="Courier New" w:hAnsi="Courier New"/>
                <w:color w:val="004400"/>
                <w:sz w:val="17"/>
              </w:rPr>
              <w:t>for target in target_genes:</w:t>
            </w:r>
          </w:p>
          <w:p>
            <w:pPr>
              <w:spacing w:before="20" w:after="20"/>
            </w:pPr>
            <w:r>
              <w:rPr>
                <w:rFonts w:ascii="Courier New" w:hAnsi="Courier New"/>
                <w:color w:val="004400"/>
                <w:sz w:val="17"/>
              </w:rPr>
              <w:t xml:space="preserve">    y = ex_matrix[target].values</w:t>
            </w:r>
          </w:p>
          <w:p>
            <w:pPr>
              <w:spacing w:before="20" w:after="20"/>
            </w:pPr>
            <w:r>
              <w:rPr>
                <w:rFonts w:ascii="Courier New" w:hAnsi="Courier New"/>
                <w:color w:val="004400"/>
                <w:sz w:val="17"/>
              </w:rPr>
              <w:t xml:space="preserve">    if y.std() == 0:</w:t>
            </w:r>
          </w:p>
          <w:p>
            <w:pPr>
              <w:spacing w:before="20" w:after="20"/>
            </w:pPr>
            <w:r>
              <w:rPr>
                <w:rFonts w:ascii="Courier New" w:hAnsi="Courier New"/>
                <w:color w:val="004400"/>
                <w:sz w:val="17"/>
              </w:rPr>
              <w:t xml:space="preserve">        continue  # skip genes sin varianza</w:t>
            </w:r>
          </w:p>
          <w:p>
            <w:pPr>
              <w:spacing w:before="20" w:after="20"/>
            </w:pPr>
            <w:r>
              <w:rPr>
                <w:rFonts w:ascii="Courier New" w:hAnsi="Courier New"/>
                <w:color w:val="004400"/>
                <w:sz w:val="17"/>
              </w:rPr>
              <w:t xml:space="preserve">    gbm = GradientBoostingRegressor(</w:t>
            </w:r>
          </w:p>
          <w:p>
            <w:pPr>
              <w:spacing w:before="20" w:after="20"/>
            </w:pPr>
            <w:r>
              <w:rPr>
                <w:rFonts w:ascii="Courier New" w:hAnsi="Courier New"/>
                <w:color w:val="004400"/>
                <w:sz w:val="17"/>
              </w:rPr>
              <w:t xml:space="preserve">        n_estimators=500,</w:t>
            </w:r>
          </w:p>
          <w:p>
            <w:pPr>
              <w:spacing w:before="20" w:after="20"/>
            </w:pPr>
            <w:r>
              <w:rPr>
                <w:rFonts w:ascii="Courier New" w:hAnsi="Courier New"/>
                <w:color w:val="004400"/>
                <w:sz w:val="17"/>
              </w:rPr>
              <w:t xml:space="preserve">        max_depth=3,</w:t>
            </w:r>
          </w:p>
          <w:p>
            <w:pPr>
              <w:spacing w:before="20" w:after="20"/>
            </w:pPr>
            <w:r>
              <w:rPr>
                <w:rFonts w:ascii="Courier New" w:hAnsi="Courier New"/>
                <w:color w:val="004400"/>
                <w:sz w:val="17"/>
              </w:rPr>
              <w:t xml:space="preserve">        random_state=42,</w:t>
            </w:r>
          </w:p>
          <w:p>
            <w:pPr>
              <w:spacing w:before="20" w:after="20"/>
            </w:pPr>
            <w:r>
              <w:rPr>
                <w:rFonts w:ascii="Courier New" w:hAnsi="Courier New"/>
                <w:color w:val="004400"/>
                <w:sz w:val="17"/>
              </w:rPr>
              <w:t xml:space="preserve">    )</w:t>
            </w:r>
          </w:p>
          <w:p>
            <w:pPr>
              <w:spacing w:before="20" w:after="20"/>
            </w:pPr>
            <w:r>
              <w:rPr>
                <w:rFonts w:ascii="Courier New" w:hAnsi="Courier New"/>
                <w:color w:val="004400"/>
                <w:sz w:val="17"/>
              </w:rPr>
              <w:t xml:space="preserve">    gbm.fit(X_tfs, y)</w:t>
            </w:r>
          </w:p>
          <w:p>
            <w:pPr>
              <w:spacing w:before="20" w:after="20"/>
            </w:pPr>
            <w:r>
              <w:rPr>
                <w:rFonts w:ascii="Courier New" w:hAnsi="Courier New"/>
                <w:color w:val="004400"/>
                <w:sz w:val="17"/>
              </w:rPr>
              <w:t xml:space="preserve">    for tf, imp in zip(tfs, gbm.feature_importances_):</w:t>
            </w:r>
          </w:p>
          <w:p>
            <w:pPr>
              <w:spacing w:before="20" w:after="20"/>
            </w:pPr>
            <w:r>
              <w:rPr>
                <w:rFonts w:ascii="Courier New" w:hAnsi="Courier New"/>
                <w:color w:val="004400"/>
                <w:sz w:val="17"/>
              </w:rPr>
              <w:t xml:space="preserve">        if imp &gt; 0:</w:t>
            </w:r>
          </w:p>
          <w:p>
            <w:pPr>
              <w:spacing w:before="20" w:after="20"/>
            </w:pPr>
            <w:r>
              <w:rPr>
                <w:rFonts w:ascii="Courier New" w:hAnsi="Courier New"/>
                <w:color w:val="004400"/>
                <w:sz w:val="17"/>
              </w:rPr>
              <w:t xml:space="preserve">            records.append((tf, target, imp))</w:t>
            </w:r>
          </w:p>
        </w:tc>
      </w:tr>
    </w:tbl>
    <w:p>
      <w:pPr>
        <w:spacing w:after="160"/>
      </w:pPr>
    </w:p>
    <w:p>
      <w:pPr>
        <w:pStyle w:val="Heading3"/>
        <w:spacing w:before="160" w:after="120"/>
        <w:jc w:val="left"/>
      </w:pPr>
      <w:r>
        <w:rPr>
          <w:b/>
          <w:color w:val="334477"/>
          <w:sz w:val="24"/>
        </w:rPr>
        <w:t>Explicación línea por línea del código nuevo</w:t>
      </w:r>
    </w:p>
    <w:p>
      <w:pPr>
        <w:spacing w:after="20" w:before="160"/>
      </w:pPr>
      <w:r>
        <w:rPr>
          <w:b/>
          <w:color w:val="334477"/>
          <w:sz w:val="18"/>
        </w:rPr>
        <w:t xml:space="preserve">  ▶  Código completo de GRNBoost2 con sklearn — anotado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 Preparación ────────────────────────────────────────────────────</w:t>
            </w:r>
          </w:p>
          <w:p>
            <w:pPr>
              <w:spacing w:before="0" w:after="0"/>
            </w:pPr>
            <w:r>
              <w:rPr>
                <w:rFonts w:ascii="Courier New" w:hAnsi="Courier New"/>
                <w:color w:val="1A1A55"/>
                <w:sz w:val="18"/>
              </w:rPr>
              <w:t>tfs_in_matrix = [tf for tf in tf_names if tf in ex_matrix.columns]</w:t>
            </w:r>
          </w:p>
          <w:p>
            <w:pPr>
              <w:spacing w:before="0" w:after="0"/>
            </w:pPr>
            <w:r>
              <w:rPr>
                <w:rFonts w:ascii="Courier New" w:hAnsi="Courier New"/>
                <w:color w:val="1A1A55"/>
                <w:sz w:val="18"/>
              </w:rPr>
              <w:t># Filtrar la lista de TFs para quedarse solo con los que existen</w:t>
            </w:r>
          </w:p>
          <w:p>
            <w:pPr>
              <w:spacing w:before="0" w:after="0"/>
            </w:pPr>
            <w:r>
              <w:rPr>
                <w:rFonts w:ascii="Courier New" w:hAnsi="Courier New"/>
                <w:color w:val="1A1A55"/>
                <w:sz w:val="18"/>
              </w:rPr>
              <w:t># en nuestra matriz de expresión (no todos los TFs humanos están en el dataset)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X_tfs = ex_matrix[tfs_in_matrix].values</w:t>
            </w:r>
          </w:p>
          <w:p>
            <w:pPr>
              <w:spacing w:before="0" w:after="0"/>
            </w:pPr>
            <w:r>
              <w:rPr>
                <w:rFonts w:ascii="Courier New" w:hAnsi="Courier New"/>
                <w:color w:val="1A1A55"/>
                <w:sz w:val="18"/>
              </w:rPr>
              <w:t># X_tfs = sub-matriz con solo las columnas de TFs</w:t>
            </w:r>
          </w:p>
          <w:p>
            <w:pPr>
              <w:spacing w:before="0" w:after="0"/>
            </w:pPr>
            <w:r>
              <w:rPr>
                <w:rFonts w:ascii="Courier New" w:hAnsi="Courier New"/>
                <w:color w:val="1A1A55"/>
                <w:sz w:val="18"/>
              </w:rPr>
              <w:t># Forma: (num_células × num_TFs)</w:t>
            </w:r>
          </w:p>
          <w:p>
            <w:pPr>
              <w:spacing w:before="0" w:after="0"/>
            </w:pPr>
            <w:r>
              <w:rPr>
                <w:rFonts w:ascii="Courier New" w:hAnsi="Courier New"/>
                <w:color w:val="1A1A55"/>
                <w:sz w:val="18"/>
              </w:rPr>
              <w:t># Ejemplo: (500 células × 12 TFs) si usamos el dataset tiny</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target_genes = [g for g in ex_matrix.columns if g not in tfs_in_matrix]</w:t>
            </w:r>
          </w:p>
          <w:p>
            <w:pPr>
              <w:spacing w:before="0" w:after="0"/>
            </w:pPr>
            <w:r>
              <w:rPr>
                <w:rFonts w:ascii="Courier New" w:hAnsi="Courier New"/>
                <w:color w:val="1A1A55"/>
                <w:sz w:val="18"/>
              </w:rPr>
              <w:t># Los genes objetivo son todos los genes excepto los TFs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Bucle principal ─────────────────────────────────────────────────</w:t>
            </w:r>
          </w:p>
          <w:p>
            <w:pPr>
              <w:spacing w:before="0" w:after="0"/>
            </w:pPr>
            <w:r>
              <w:rPr>
                <w:rFonts w:ascii="Courier New" w:hAnsi="Courier New"/>
                <w:color w:val="1A1A55"/>
                <w:sz w:val="18"/>
              </w:rPr>
              <w:t>for target in target_genes:</w:t>
            </w:r>
          </w:p>
          <w:p>
            <w:pPr>
              <w:spacing w:before="0" w:after="0"/>
            </w:pPr>
            <w:r>
              <w:rPr>
                <w:rFonts w:ascii="Courier New" w:hAnsi="Courier New"/>
                <w:color w:val="1A1A55"/>
                <w:sz w:val="18"/>
              </w:rPr>
              <w:t xml:space="preserve">    y = ex_matrix[target].values</w:t>
            </w:r>
          </w:p>
          <w:p>
            <w:pPr>
              <w:spacing w:before="0" w:after="0"/>
            </w:pPr>
            <w:r>
              <w:rPr>
                <w:rFonts w:ascii="Courier New" w:hAnsi="Courier New"/>
                <w:color w:val="1A1A55"/>
                <w:sz w:val="18"/>
              </w:rPr>
              <w:t xml:space="preserve">    # y = vector de expresión del gen objetivo en cada célula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if y.std() == 0:</w:t>
            </w:r>
          </w:p>
          <w:p>
            <w:pPr>
              <w:spacing w:before="0" w:after="0"/>
            </w:pPr>
            <w:r>
              <w:rPr>
                <w:rFonts w:ascii="Courier New" w:hAnsi="Courier New"/>
                <w:color w:val="1A1A55"/>
                <w:sz w:val="18"/>
              </w:rPr>
              <w:t xml:space="preserve">        continue  # Si el gen no varía entre células, no hay nada que predecir</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 Crear y entrenar el modelo:</w:t>
            </w:r>
          </w:p>
          <w:p>
            <w:pPr>
              <w:spacing w:before="0" w:after="0"/>
            </w:pPr>
            <w:r>
              <w:rPr>
                <w:rFonts w:ascii="Courier New" w:hAnsi="Courier New"/>
                <w:color w:val="1A1A55"/>
                <w:sz w:val="18"/>
              </w:rPr>
              <w:t xml:space="preserve">    gbm = GradientBoostingRegressor(n_estimators=500, max_depth=3)</w:t>
            </w:r>
          </w:p>
          <w:p>
            <w:pPr>
              <w:spacing w:before="0" w:after="0"/>
            </w:pPr>
            <w:r>
              <w:rPr>
                <w:rFonts w:ascii="Courier New" w:hAnsi="Courier New"/>
                <w:color w:val="1A1A55"/>
                <w:sz w:val="18"/>
              </w:rPr>
              <w:t xml:space="preserve">    gbm.fit(X_tfs, y)</w:t>
            </w:r>
          </w:p>
          <w:p>
            <w:pPr>
              <w:spacing w:before="0" w:after="0"/>
            </w:pPr>
            <w:r>
              <w:rPr>
                <w:rFonts w:ascii="Courier New" w:hAnsi="Courier New"/>
                <w:color w:val="1A1A55"/>
                <w:sz w:val="18"/>
              </w:rPr>
              <w:t xml:space="preserve">    # El modelo aprende: 'si TF_X tiene expresión alta, el gen_objetivo también'</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 Extraer importancias: ¿qué TF contribuyó más?</w:t>
            </w:r>
          </w:p>
          <w:p>
            <w:pPr>
              <w:spacing w:before="0" w:after="0"/>
            </w:pPr>
            <w:r>
              <w:rPr>
                <w:rFonts w:ascii="Courier New" w:hAnsi="Courier New"/>
                <w:color w:val="1A1A55"/>
                <w:sz w:val="18"/>
              </w:rPr>
              <w:t xml:space="preserve">    for tf, importancia in zip(tfs_in_matrix, gbm.feature_importances_):</w:t>
            </w:r>
          </w:p>
          <w:p>
            <w:pPr>
              <w:spacing w:before="0" w:after="0"/>
            </w:pPr>
            <w:r>
              <w:rPr>
                <w:rFonts w:ascii="Courier New" w:hAnsi="Courier New"/>
                <w:color w:val="1A1A55"/>
                <w:sz w:val="18"/>
              </w:rPr>
              <w:t xml:space="preserve">        if importancia &gt; 0:</w:t>
            </w:r>
          </w:p>
          <w:p>
            <w:pPr>
              <w:spacing w:before="0" w:after="0"/>
            </w:pPr>
            <w:r>
              <w:rPr>
                <w:rFonts w:ascii="Courier New" w:hAnsi="Courier New"/>
                <w:color w:val="1A1A55"/>
                <w:sz w:val="18"/>
              </w:rPr>
              <w:t xml:space="preserve">            records.append({'TF': tf,</w:t>
            </w:r>
          </w:p>
          <w:p>
            <w:pPr>
              <w:spacing w:before="0" w:after="0"/>
            </w:pPr>
            <w:r>
              <w:rPr>
                <w:rFonts w:ascii="Courier New" w:hAnsi="Courier New"/>
                <w:color w:val="1A1A55"/>
                <w:sz w:val="18"/>
              </w:rPr>
              <w:t xml:space="preserve">                            'target': target,</w:t>
            </w:r>
          </w:p>
          <w:p>
            <w:pPr>
              <w:spacing w:before="0" w:after="0"/>
            </w:pPr>
            <w:r>
              <w:rPr>
                <w:rFonts w:ascii="Courier New" w:hAnsi="Courier New"/>
                <w:color w:val="1A1A55"/>
                <w:sz w:val="18"/>
              </w:rPr>
              <w:t xml:space="preserve">                            'importance': importancia})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Resultado ───────────────────────────────────────────────────────</w:t>
            </w:r>
          </w:p>
          <w:p>
            <w:pPr>
              <w:spacing w:before="0" w:after="0"/>
            </w:pPr>
            <w:r>
              <w:rPr>
                <w:rFonts w:ascii="Courier New" w:hAnsi="Courier New"/>
                <w:color w:val="1A1A55"/>
                <w:sz w:val="18"/>
              </w:rPr>
              <w:t>adjacencies = pd.DataFrame(records)</w:t>
            </w:r>
          </w:p>
          <w:p>
            <w:pPr>
              <w:spacing w:before="0" w:after="0"/>
            </w:pPr>
            <w:r>
              <w:rPr>
                <w:rFonts w:ascii="Courier New" w:hAnsi="Courier New"/>
                <w:color w:val="1A1A55"/>
                <w:sz w:val="18"/>
              </w:rPr>
              <w:t># adjacencies es una tabla con columnas: TF | target | importance</w:t>
            </w:r>
          </w:p>
          <w:p>
            <w:pPr>
              <w:spacing w:before="0" w:after="0"/>
            </w:pPr>
            <w:r>
              <w:rPr>
                <w:rFonts w:ascii="Courier New" w:hAnsi="Courier New"/>
                <w:color w:val="1A1A55"/>
                <w:sz w:val="18"/>
              </w:rPr>
              <w:t># Ejemplo de filas:</w:t>
            </w:r>
          </w:p>
          <w:p>
            <w:pPr>
              <w:spacing w:before="0" w:after="0"/>
            </w:pPr>
            <w:r>
              <w:rPr>
                <w:rFonts w:ascii="Courier New" w:hAnsi="Courier New"/>
                <w:color w:val="1A1A55"/>
                <w:sz w:val="18"/>
              </w:rPr>
              <w:t>#   GATA1 | HBB   | 0.9412</w:t>
            </w:r>
          </w:p>
          <w:p>
            <w:pPr>
              <w:spacing w:before="0" w:after="0"/>
            </w:pPr>
            <w:r>
              <w:rPr>
                <w:rFonts w:ascii="Courier New" w:hAnsi="Courier New"/>
                <w:color w:val="1A1A55"/>
                <w:sz w:val="18"/>
              </w:rPr>
              <w:t>#   GATA1 | HBA1  | 0.8703</w:t>
            </w:r>
          </w:p>
          <w:p>
            <w:pPr>
              <w:spacing w:before="0" w:after="0"/>
            </w:pPr>
            <w:r>
              <w:rPr>
                <w:rFonts w:ascii="Courier New" w:hAnsi="Courier New"/>
                <w:color w:val="1A1A55"/>
                <w:sz w:val="18"/>
              </w:rPr>
              <w:t>#   BRF1  | UBTF  | 0.7201</w:t>
            </w:r>
          </w:p>
          <w:p>
            <w:pPr>
              <w:spacing w:before="0" w:after="0"/>
            </w:pPr>
            <w:r>
              <w:rPr>
                <w:rFonts w:ascii="Courier New" w:hAnsi="Courier New"/>
                <w:color w:val="1A1A55"/>
                <w:sz w:val="18"/>
              </w:rPr>
              <w:t>adjacencies.to_csv('adjacencies.tsv', sep='\t', index=False)</w:t>
            </w:r>
          </w:p>
          <w:p>
            <w:pPr>
              <w:spacing w:before="0" w:after="0"/>
            </w:pPr>
            <w:r>
              <w:rPr>
                <w:rFonts w:ascii="Courier New" w:hAnsi="Courier New"/>
                <w:color w:val="1A1A55"/>
                <w:sz w:val="18"/>
              </w:rPr>
              <w:t># Este archivo TSV es exactamente lo que pyscenic ctx necesita como entrada</w:t>
            </w:r>
          </w:p>
        </w:tc>
      </w:tr>
    </w:tbl>
    <w:p>
      <w:pPr>
        <w:spacing w:after="120"/>
      </w:pPr>
    </w:p>
    <w:p>
      <w:pPr>
        <w:pStyle w:val="Heading3"/>
        <w:spacing w:before="160" w:after="120"/>
        <w:jc w:val="left"/>
      </w:pPr>
      <w:r>
        <w:rPr>
          <w:b/>
          <w:color w:val="334477"/>
          <w:sz w:val="24"/>
        </w:rPr>
        <w:t>Diferencias técnicas y su impacto biológico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Aspecto</w:t>
            </w:r>
          </w:p>
        </w:tc>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arboreto original</w:t>
            </w:r>
          </w:p>
        </w:tc>
        <w:tc>
          <w:tcPr>
            <w:tcW w:type="dxa" w:w="3041"/>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sklearn adaptado</w:t>
            </w:r>
          </w:p>
        </w:tc>
      </w:tr>
      <w:tr>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Algoritmo base</w:t>
            </w:r>
          </w:p>
        </w:tc>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Random Forest + Gradient Boosting (ensemble)</w:t>
            </w:r>
          </w:p>
        </w:tc>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Solo Gradient Boosting</w:t>
            </w:r>
          </w:p>
        </w:tc>
      </w:tr>
      <w:tr>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Paralelización</w:t>
            </w:r>
          </w:p>
        </w:tc>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Dask: todos los genes a la vez en múltiples núcleos</w:t>
            </w:r>
          </w:p>
        </w:tc>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Secuencial: un gen a la vez</w:t>
            </w:r>
          </w:p>
        </w:tc>
      </w:tr>
      <w:tr>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Velocidad</w:t>
            </w:r>
          </w:p>
        </w:tc>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Más rápido con datos grandes (paralelo)</w:t>
            </w:r>
          </w:p>
        </w:tc>
        <w:tc>
          <w:tcPr>
            <w:tcW w:type="dxa" w:w="3041"/>
            <w:shd w:val="clear" w:color="auto" w:fill="FEF9EE"/>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Más lento con datasets grandes</w:t>
            </w:r>
          </w:p>
        </w:tc>
      </w:tr>
      <w:tr>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Formato de salida</w:t>
            </w:r>
          </w:p>
        </w:tc>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TSV: TF | target | importance</w:t>
            </w:r>
          </w:p>
        </w:tc>
        <w:tc>
          <w:tcPr>
            <w:tcW w:type="dxa" w:w="3041"/>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TSV: TF | target | importance (idéntico)</w:t>
            </w:r>
          </w:p>
        </w:tc>
      </w:tr>
    </w:tbl>
    <w:p>
      <w:pPr>
        <w:spacing w:after="160"/>
      </w:pPr>
    </w:p>
    <w:tbl>
      <w:tblPr>
        <w:tblStyle w:val="TableGrid"/>
        <w:tblW w:type="auto" w:w="0"/>
        <w:tblLook w:firstColumn="1" w:firstRow="1" w:lastColumn="0" w:lastRow="0" w:noHBand="0" w:noVBand="1" w:val="04A0"/>
      </w:tblPr>
      <w:tblGrid>
        <w:gridCol w:w="9122"/>
      </w:tblGrid>
      <w:tr>
        <w:tc>
          <w:tcPr>
            <w:tcW w:type="dxa" w:w="9122"/>
            <w:shd w:val="clear" w:color="auto" w:fill="FFF3E0"/>
            <w:tcBorders>
              <w:top w:val="single" w:sz="8" w:space="0" w:color="E65100"/>
              <w:left w:val="single" w:sz="8" w:space="0" w:color="E65100"/>
              <w:bottom w:val="single" w:sz="8" w:space="0" w:color="E65100"/>
              <w:right w:val="single" w:sz="8" w:space="0" w:color="E65100"/>
            </w:tcBorders>
            <w:tcMar>
              <w:top w:w="100" w:type="dxa"/>
              <w:left w:w="100" w:type="dxa"/>
              <w:bottom w:w="100" w:type="dxa"/>
              <w:right w:w="100" w:type="dxa"/>
            </w:tcMar>
          </w:tcPr>
          <w:p>
            <w:pPr>
              <w:spacing w:before="60" w:after="60"/>
            </w:pPr>
            <w:r>
              <w:rPr>
                <w:b/>
                <w:color w:val="1A1A44"/>
                <w:sz w:val="20"/>
              </w:rPr>
              <w:t>⚠  ATENCIÓN:  Los rankings TF-gen producidos por sklearn son cualitativamente similares a los de arboreto (los TFs más importantes siguen siendo los más importantes) pero los valores numéricos exactos de importancia pueden diferir. Esto puede producir pequeñas diferencias en cuántos regulones identifica cisTarget. Con datos reales y TFs canónicos, el impacto biológico es mínimo.</w:t>
            </w:r>
          </w:p>
        </w:tc>
      </w:tr>
    </w:tbl>
    <w:p>
      <w:pPr>
        <w:spacing w:after="120"/>
      </w:pPr>
    </w:p>
    <w:p>
      <w:pPr>
        <w:pStyle w:val="Heading2"/>
        <w:spacing w:before="240" w:after="120"/>
        <w:jc w:val="left"/>
      </w:pPr>
      <w:r>
        <w:rPr>
          <w:b/>
          <w:color w:val="2E5F9A"/>
          <w:sz w:val="28"/>
        </w:rPr>
        <w:t>5.2  Cambio 2 (IMPORTANTE) — AUCell: CLI → API Python directa</w:t>
      </w:r>
    </w:p>
    <w:p>
      <w:pPr>
        <w:pStyle w:val="Heading3"/>
        <w:spacing w:before="160" w:after="120"/>
        <w:jc w:val="left"/>
      </w:pPr>
      <w:r>
        <w:rPr>
          <w:b/>
          <w:color w:val="334477"/>
          <w:sz w:val="24"/>
        </w:rPr>
        <w:t>¿Qué calcula AUCell biológicamente?</w:t>
      </w:r>
    </w:p>
    <w:p>
      <w:pPr>
        <w:spacing w:after="140" w:before="0"/>
      </w:pPr>
      <w:r>
        <w:rPr>
          <w:sz w:val="21"/>
        </w:rPr>
        <w:t>AUCell es el tercer paso del pipeline. Después de que cisTarget ha identificado los regulones (conjuntos de genes co-regulados por un mismo TF con evidencia de motivos), AUCell calcula qué tan activo está cada regulón en cada célula individualmente.</w:t>
      </w:r>
    </w:p>
    <w:p>
      <w:pPr>
        <w:spacing w:after="140" w:before="0"/>
      </w:pPr>
      <w:r>
        <w:rPr>
          <w:sz w:val="21"/>
        </w:rPr>
        <w:t>El método usa una idea elegante: para cada célula, ordena todos sus genes de mayor a menor expresión. Luego calcula el Área Bajo la Curva (AUC) de la distribución acumulada de los genes del regulón en ese ranking. Si los genes del regulón tienden a estar en la parte superior del ranking (muy expresados), el AUC es alto — el regulón está activo. Si están distribuidos aleatoriamente, el AUC es bajo — el regulón está inactivo.</w:t>
      </w:r>
    </w:p>
    <w:p>
      <w:pPr>
        <w:spacing w:after="20" w:before="160"/>
      </w:pPr>
      <w:r>
        <w:rPr>
          <w:b/>
          <w:color w:val="334477"/>
          <w:sz w:val="18"/>
        </w:rPr>
        <w:t xml:space="preserve">  ▶  Estructura de la matriz AUCell</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Resultado de AUCell: una matriz de scores</w:t>
            </w:r>
          </w:p>
          <w:p>
            <w:pPr>
              <w:spacing w:before="0" w:after="0"/>
            </w:pPr>
            <w:r>
              <w:rPr>
                <w:rFonts w:ascii="Courier New" w:hAnsi="Courier New"/>
                <w:color w:val="1A1A55"/>
                <w:sz w:val="18"/>
              </w:rPr>
              <w:t>#</w:t>
            </w:r>
          </w:p>
          <w:p>
            <w:pPr>
              <w:spacing w:before="0" w:after="0"/>
            </w:pPr>
            <w:r>
              <w:rPr>
                <w:rFonts w:ascii="Courier New" w:hAnsi="Courier New"/>
                <w:color w:val="1A1A55"/>
                <w:sz w:val="18"/>
              </w:rPr>
              <w:t>#              GATA1(+)  MYC(+)   TP53(+)  RUNX1(+)</w:t>
            </w:r>
          </w:p>
          <w:p>
            <w:pPr>
              <w:spacing w:before="0" w:after="0"/>
            </w:pPr>
            <w:r>
              <w:rPr>
                <w:rFonts w:ascii="Courier New" w:hAnsi="Courier New"/>
                <w:color w:val="1A1A55"/>
                <w:sz w:val="18"/>
              </w:rPr>
              <w:t># CELULA_001     0.312    0.087    0.043     0.289</w:t>
            </w:r>
          </w:p>
          <w:p>
            <w:pPr>
              <w:spacing w:before="0" w:after="0"/>
            </w:pPr>
            <w:r>
              <w:rPr>
                <w:rFonts w:ascii="Courier New" w:hAnsi="Courier New"/>
                <w:color w:val="1A1A55"/>
                <w:sz w:val="18"/>
              </w:rPr>
              <w:t># CELULA_002     0.891    0.031    0.012     0.756  &lt;- eritroblasto (GATA1 activo)</w:t>
            </w:r>
          </w:p>
          <w:p>
            <w:pPr>
              <w:spacing w:before="0" w:after="0"/>
            </w:pPr>
            <w:r>
              <w:rPr>
                <w:rFonts w:ascii="Courier New" w:hAnsi="Courier New"/>
                <w:color w:val="1A1A55"/>
                <w:sz w:val="18"/>
              </w:rPr>
              <w:t># CELULA_003     0.021    0.445    0.387     0.018</w:t>
            </w:r>
          </w:p>
          <w:p>
            <w:pPr>
              <w:spacing w:before="0" w:after="0"/>
            </w:pPr>
            <w:r>
              <w:rPr>
                <w:rFonts w:ascii="Courier New" w:hAnsi="Courier New"/>
                <w:color w:val="1A1A55"/>
                <w:sz w:val="18"/>
              </w:rPr>
              <w:t># CELULA_004     0.034    0.512    0.401     0.025</w:t>
            </w:r>
          </w:p>
          <w:p>
            <w:pPr>
              <w:spacing w:before="0" w:after="0"/>
            </w:pPr>
            <w:r>
              <w:rPr>
                <w:rFonts w:ascii="Courier New" w:hAnsi="Courier New"/>
                <w:color w:val="1A1A55"/>
                <w:sz w:val="18"/>
              </w:rPr>
              <w:t>#</w:t>
            </w:r>
          </w:p>
          <w:p>
            <w:pPr>
              <w:spacing w:before="0" w:after="0"/>
            </w:pPr>
            <w:r>
              <w:rPr>
                <w:rFonts w:ascii="Courier New" w:hAnsi="Courier New"/>
                <w:color w:val="1A1A55"/>
                <w:sz w:val="18"/>
              </w:rPr>
              <w:t># Cada valor = AUC del regulón en esa célula</w:t>
            </w:r>
          </w:p>
          <w:p>
            <w:pPr>
              <w:spacing w:before="0" w:after="0"/>
            </w:pPr>
            <w:r>
              <w:rPr>
                <w:rFonts w:ascii="Courier New" w:hAnsi="Courier New"/>
                <w:color w:val="1A1A55"/>
                <w:sz w:val="18"/>
              </w:rPr>
              <w:t># 0 = regulón inactivo, 1 = regulón completamente activo</w:t>
            </w:r>
          </w:p>
        </w:tc>
      </w:tr>
    </w:tbl>
    <w:p>
      <w:pPr>
        <w:spacing w:after="120"/>
      </w:pPr>
    </w:p>
    <w:p>
      <w:pPr>
        <w:pStyle w:val="Heading3"/>
        <w:spacing w:before="160" w:after="120"/>
        <w:jc w:val="left"/>
      </w:pPr>
      <w:r>
        <w:rPr>
          <w:b/>
          <w:color w:val="334477"/>
          <w:sz w:val="24"/>
        </w:rPr>
        <w:t>¿Qué dice el tutorial original?</w:t>
      </w:r>
    </w:p>
    <w:p>
      <w:pPr>
        <w:spacing w:after="20" w:before="160"/>
      </w:pPr>
      <w:r>
        <w:rPr>
          <w:b/>
          <w:color w:val="334477"/>
          <w:sz w:val="18"/>
        </w:rPr>
        <w:t xml:space="preserve">  ▶  Tutorial original — AUCell CLI</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Tutorial original — AUCell mediante CLI</w:t>
            </w:r>
          </w:p>
          <w:p>
            <w:pPr>
              <w:spacing w:before="0" w:after="0"/>
            </w:pPr>
            <w:r>
              <w:rPr>
                <w:rFonts w:ascii="Courier New" w:hAnsi="Courier New"/>
                <w:color w:val="1A1A55"/>
                <w:sz w:val="18"/>
              </w:rPr>
              <w:t># Se ejecuta en la terminal del sistema: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pyscenic aucell \</w:t>
            </w:r>
          </w:p>
          <w:p>
            <w:pPr>
              <w:spacing w:before="0" w:after="0"/>
            </w:pPr>
            <w:r>
              <w:rPr>
                <w:rFonts w:ascii="Courier New" w:hAnsi="Courier New"/>
                <w:color w:val="1A1A55"/>
                <w:sz w:val="18"/>
              </w:rPr>
              <w:t xml:space="preserve">    expr_mat.loom \        # matriz de expresión (entrada)</w:t>
            </w:r>
          </w:p>
          <w:p>
            <w:pPr>
              <w:spacing w:before="0" w:after="0"/>
            </w:pPr>
            <w:r>
              <w:rPr>
                <w:rFonts w:ascii="Courier New" w:hAnsi="Courier New"/>
                <w:color w:val="1A1A55"/>
                <w:sz w:val="18"/>
              </w:rPr>
              <w:t xml:space="preserve">    regulons.csv \         # regulones de cisTarget (entrada)</w:t>
            </w:r>
          </w:p>
          <w:p>
            <w:pPr>
              <w:spacing w:before="0" w:after="0"/>
            </w:pPr>
            <w:r>
              <w:rPr>
                <w:rFonts w:ascii="Courier New" w:hAnsi="Courier New"/>
                <w:color w:val="1A1A55"/>
                <w:sz w:val="18"/>
              </w:rPr>
              <w:t xml:space="preserve">    -o scenic_output.loom  # archivo loom de salida con todo incluido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Internamente, este comando:</w:t>
            </w:r>
          </w:p>
          <w:p>
            <w:pPr>
              <w:spacing w:before="0" w:after="0"/>
            </w:pPr>
            <w:r>
              <w:rPr>
                <w:rFonts w:ascii="Courier New" w:hAnsi="Courier New"/>
                <w:color w:val="1A1A55"/>
                <w:sz w:val="18"/>
              </w:rPr>
              <w:t># 1. Lee expr_mat.loom → carga expresión</w:t>
            </w:r>
          </w:p>
          <w:p>
            <w:pPr>
              <w:spacing w:before="0" w:after="0"/>
            </w:pPr>
            <w:r>
              <w:rPr>
                <w:rFonts w:ascii="Courier New" w:hAnsi="Courier New"/>
                <w:color w:val="1A1A55"/>
                <w:sz w:val="18"/>
              </w:rPr>
              <w:t># 2. Llama load_motifs(regulons.csv) → convierte CSV a estructura interna</w:t>
            </w:r>
          </w:p>
          <w:p>
            <w:pPr>
              <w:spacing w:before="0" w:after="0"/>
            </w:pPr>
            <w:r>
              <w:rPr>
                <w:rFonts w:ascii="Courier New" w:hAnsi="Courier New"/>
                <w:color w:val="1A1A55"/>
                <w:sz w:val="18"/>
              </w:rPr>
              <w:t># 3. Llama aucell() → calcula scores AUC</w:t>
            </w:r>
          </w:p>
          <w:p>
            <w:pPr>
              <w:spacing w:before="0" w:after="0"/>
            </w:pPr>
            <w:r>
              <w:rPr>
                <w:rFonts w:ascii="Courier New" w:hAnsi="Courier New"/>
                <w:color w:val="1A1A55"/>
                <w:sz w:val="18"/>
              </w:rPr>
              <w:t># 4. Escribe scenic_output.loom con todo</w:t>
            </w:r>
          </w:p>
        </w:tc>
      </w:tr>
    </w:tbl>
    <w:p>
      <w:pPr>
        <w:spacing w:after="120"/>
      </w:pPr>
    </w:p>
    <w:p>
      <w:pPr>
        <w:pStyle w:val="Heading3"/>
        <w:spacing w:before="160" w:after="120"/>
        <w:jc w:val="left"/>
      </w:pPr>
      <w:r>
        <w:rPr>
          <w:b/>
          <w:color w:val="334477"/>
          <w:sz w:val="24"/>
        </w:rPr>
        <w:t>¿Dónde está el bug con pandas 2.x?</w:t>
      </w:r>
    </w:p>
    <w:p>
      <w:pPr>
        <w:spacing w:after="140" w:before="0"/>
      </w:pPr>
      <w:r>
        <w:rPr>
          <w:sz w:val="21"/>
        </w:rPr>
        <w:t>El bug no está en el cálculo de AUC en sí, sino en la función que lee el archivo de regulones: load_motifs(). Esta función lee el CSV de regulones producido por cisTarget, que tiene una estructura de tabla compleja con dos niveles de cabeceras (multi-index). Pandas 2.0 cambió cómo se construyen estas tablas y el código de pySCENIC no fue actualizado.</w:t>
      </w:r>
    </w:p>
    <w:p>
      <w:pPr>
        <w:spacing w:after="20" w:before="160"/>
      </w:pPr>
      <w:r>
        <w:rPr>
          <w:b/>
          <w:color w:val="334477"/>
          <w:sz w:val="18"/>
        </w:rPr>
        <w:t xml:space="preserve">  ▶  Ubicación y causa del bug</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El archivo regulons.csv de cisTarget tiene esta estructura complicada:</w:t>
            </w:r>
          </w:p>
          <w:p>
            <w:pPr>
              <w:spacing w:before="0" w:after="0"/>
            </w:pPr>
            <w:r>
              <w:rPr>
                <w:rFonts w:ascii="Courier New" w:hAnsi="Courier New"/>
                <w:color w:val="1A1A55"/>
                <w:sz w:val="18"/>
              </w:rPr>
              <w:t>#</w:t>
            </w:r>
          </w:p>
          <w:p>
            <w:pPr>
              <w:spacing w:before="0" w:after="0"/>
            </w:pPr>
            <w:r>
              <w:rPr>
                <w:rFonts w:ascii="Courier New" w:hAnsi="Courier New"/>
                <w:color w:val="1A1A55"/>
                <w:sz w:val="18"/>
              </w:rPr>
              <w:t>#              TargetGenes          MotifSimilarityScore</w:t>
            </w:r>
          </w:p>
          <w:p>
            <w:pPr>
              <w:spacing w:before="0" w:after="0"/>
            </w:pPr>
            <w:r>
              <w:rPr>
                <w:rFonts w:ascii="Courier New" w:hAnsi="Courier New"/>
                <w:color w:val="1A1A55"/>
                <w:sz w:val="18"/>
              </w:rPr>
              <w:t>#   TF    ctx  lista_de_genes       score_numerico</w:t>
            </w:r>
          </w:p>
          <w:p>
            <w:pPr>
              <w:spacing w:before="0" w:after="0"/>
            </w:pPr>
            <w:r>
              <w:rPr>
                <w:rFonts w:ascii="Courier New" w:hAnsi="Courier New"/>
                <w:color w:val="1A1A55"/>
                <w:sz w:val="18"/>
              </w:rPr>
              <w:t># BRF1   ctx1  [(GEN1,1),(GEN2,1)]  0.834</w:t>
            </w:r>
          </w:p>
          <w:p>
            <w:pPr>
              <w:spacing w:before="0" w:after="0"/>
            </w:pPr>
            <w:r>
              <w:rPr>
                <w:rFonts w:ascii="Courier New" w:hAnsi="Courier New"/>
                <w:color w:val="1A1A55"/>
                <w:sz w:val="18"/>
              </w:rPr>
              <w:t>#</w:t>
            </w:r>
          </w:p>
          <w:p>
            <w:pPr>
              <w:spacing w:before="0" w:after="0"/>
            </w:pPr>
            <w:r>
              <w:rPr>
                <w:rFonts w:ascii="Courier New" w:hAnsi="Courier New"/>
                <w:color w:val="1A1A55"/>
                <w:sz w:val="18"/>
              </w:rPr>
              <w:t># Tiene DOS filas de cabeceras (multi-index)</w:t>
            </w:r>
          </w:p>
          <w:p>
            <w:pPr>
              <w:spacing w:before="0" w:after="0"/>
            </w:pPr>
            <w:r>
              <w:rPr>
                <w:rFonts w:ascii="Courier New" w:hAnsi="Courier New"/>
                <w:color w:val="1A1A55"/>
                <w:sz w:val="18"/>
              </w:rPr>
              <w:t># pandas 2.x cambió cómo se lee esto:</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Código en pyscenic/cli/utils.py (la función con el bug):</w:t>
            </w:r>
          </w:p>
          <w:p>
            <w:pPr>
              <w:spacing w:before="0" w:after="0"/>
            </w:pPr>
            <w:r>
              <w:rPr>
                <w:rFonts w:ascii="Courier New" w:hAnsi="Courier New"/>
                <w:color w:val="1A1A55"/>
                <w:sz w:val="18"/>
              </w:rPr>
              <w:t>df = pd.read_csv(fname, sep=',', index_col=[0,1], header=[0,1])</w:t>
            </w:r>
          </w:p>
          <w:p>
            <w:pPr>
              <w:spacing w:before="0" w:after="0"/>
            </w:pPr>
            <w:r>
              <w:rPr>
                <w:rFonts w:ascii="Courier New" w:hAnsi="Courier New"/>
                <w:color w:val="1A1A55"/>
                <w:sz w:val="18"/>
              </w:rPr>
              <w:t># index_col=[0,1] = las dos primeras columnas son índice</w:t>
            </w:r>
          </w:p>
          <w:p>
            <w:pPr>
              <w:spacing w:before="0" w:after="0"/>
            </w:pPr>
            <w:r>
              <w:rPr>
                <w:rFonts w:ascii="Courier New" w:hAnsi="Courier New"/>
                <w:color w:val="1A1A55"/>
                <w:sz w:val="18"/>
              </w:rPr>
              <w:t># header=[0,1]    = las dos primeras filas son cabecera</w:t>
            </w:r>
          </w:p>
          <w:p>
            <w:pPr>
              <w:spacing w:before="0" w:after="0"/>
            </w:pPr>
            <w:r>
              <w:rPr>
                <w:rFonts w:ascii="Courier New" w:hAnsi="Courier New"/>
                <w:color w:val="1A1A55"/>
                <w:sz w:val="18"/>
              </w:rPr>
              <w:t>#</w:t>
            </w:r>
          </w:p>
          <w:p>
            <w:pPr>
              <w:spacing w:before="0" w:after="0"/>
            </w:pPr>
            <w:r>
              <w:rPr>
                <w:rFonts w:ascii="Courier New" w:hAnsi="Courier New"/>
                <w:color w:val="1A1A55"/>
                <w:sz w:val="18"/>
              </w:rPr>
              <w:t># En pandas 1.x: funcionaba correctamente</w:t>
            </w:r>
          </w:p>
          <w:p>
            <w:pPr>
              <w:spacing w:before="0" w:after="0"/>
            </w:pPr>
            <w:r>
              <w:rPr>
                <w:rFonts w:ascii="Courier New" w:hAnsi="Courier New"/>
                <w:color w:val="1A1A55"/>
                <w:sz w:val="18"/>
              </w:rPr>
              <w:t># En pandas 2.x: produce ValueError porque el DataFrame queda sin columnas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El error exacto:</w:t>
            </w:r>
          </w:p>
          <w:p>
            <w:pPr>
              <w:spacing w:before="0" w:after="0"/>
            </w:pPr>
            <w:r>
              <w:rPr>
                <w:rFonts w:ascii="Courier New" w:hAnsi="Courier New"/>
                <w:color w:val="1A1A55"/>
                <w:sz w:val="18"/>
              </w:rPr>
              <w:t>ValueError: cannot set a frame with no columns</w:t>
            </w:r>
          </w:p>
          <w:p>
            <w:pPr>
              <w:spacing w:before="0" w:after="0"/>
            </w:pPr>
            <w:r>
              <w:rPr>
                <w:rFonts w:ascii="Courier New" w:hAnsi="Courier New"/>
                <w:color w:val="1A1A55"/>
                <w:sz w:val="18"/>
              </w:rPr>
              <w:t xml:space="preserve">  File 'pyscenic/cli/utils.py', line 89, in load_motifs</w:t>
            </w:r>
          </w:p>
        </w:tc>
      </w:tr>
    </w:tbl>
    <w:p>
      <w:pPr>
        <w:spacing w:after="120"/>
      </w:pPr>
    </w:p>
    <w:p>
      <w:pPr>
        <w:pStyle w:val="Heading3"/>
        <w:spacing w:before="160" w:after="120"/>
        <w:jc w:val="left"/>
      </w:pPr>
      <w:r>
        <w:rPr>
          <w:b/>
          <w:color w:val="334477"/>
          <w:sz w:val="24"/>
        </w:rPr>
        <w:t>¿Cómo se resolvió?</w:t>
      </w:r>
    </w:p>
    <w:p>
      <w:pPr>
        <w:spacing w:after="140" w:before="0"/>
      </w:pPr>
      <w:r>
        <w:rPr>
          <w:sz w:val="21"/>
        </w:rPr>
        <w:t>El bug está en load_motifs(), que es solo la función que lee el archivo. La función que realmente calcula los scores AUC (aucell()) es un módulo separado y no tiene este problema. La solución fue:</w:t>
      </w:r>
    </w:p>
    <w:p>
      <w:pPr>
        <w:pStyle w:val="ListBullet"/>
        <w:spacing w:after="60"/>
      </w:pPr>
      <w:r>
        <w:rPr>
          <w:sz w:val="21"/>
        </w:rPr>
        <w:t>Leer el CSV de regulones manualmente, sin usar load_motifs()</w:t>
      </w:r>
    </w:p>
    <w:p>
      <w:pPr>
        <w:pStyle w:val="ListBullet"/>
        <w:spacing w:after="60"/>
      </w:pPr>
      <w:r>
        <w:rPr>
          <w:sz w:val="21"/>
        </w:rPr>
        <w:t>Construir los objetos GeneSignature directamente en Python</w:t>
      </w:r>
    </w:p>
    <w:p>
      <w:pPr>
        <w:pStyle w:val="ListBullet"/>
        <w:spacing w:after="60"/>
      </w:pPr>
      <w:r>
        <w:rPr>
          <w:sz w:val="21"/>
        </w:rPr>
        <w:t>Llamar a aucell() directamente desde Python, saltándose el CLI</w:t>
      </w:r>
    </w:p>
    <w:p>
      <w:pPr>
        <w:spacing w:after="20" w:before="160"/>
      </w:pPr>
      <w:r>
        <w:rPr>
          <w:b/>
          <w:color w:val="334477"/>
          <w:sz w:val="18"/>
        </w:rPr>
        <w:t xml:space="preserve">  ▶  Código completo de AUCell con API Python — anotado</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from pyscenic.aucell import aucell as pyscenic_aucell</w:t>
            </w:r>
          </w:p>
          <w:p>
            <w:pPr>
              <w:spacing w:before="0" w:after="0"/>
            </w:pPr>
            <w:r>
              <w:rPr>
                <w:rFonts w:ascii="Courier New" w:hAnsi="Courier New"/>
                <w:color w:val="1A1A55"/>
                <w:sz w:val="18"/>
              </w:rPr>
              <w:t>from ctxcore.genesig import GeneSignature</w:t>
            </w:r>
          </w:p>
          <w:p>
            <w:pPr>
              <w:spacing w:before="0" w:after="0"/>
            </w:pPr>
            <w:r>
              <w:rPr>
                <w:rFonts w:ascii="Courier New" w:hAnsi="Courier New"/>
                <w:color w:val="1A1A55"/>
                <w:sz w:val="18"/>
              </w:rPr>
              <w:t>import ast  # para interpretar listas de texto como listas Python</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Paso 1: leer el CSV manualmente ────────────────────────────────</w:t>
            </w:r>
          </w:p>
          <w:p>
            <w:pPr>
              <w:spacing w:before="0" w:after="0"/>
            </w:pPr>
            <w:r>
              <w:rPr>
                <w:rFonts w:ascii="Courier New" w:hAnsi="Courier New"/>
                <w:color w:val="1A1A55"/>
                <w:sz w:val="18"/>
              </w:rPr>
              <w:t># En vez de load_motifs(), leemos con pandas básico:</w:t>
            </w:r>
          </w:p>
          <w:p>
            <w:pPr>
              <w:spacing w:before="0" w:after="0"/>
            </w:pPr>
            <w:r>
              <w:rPr>
                <w:rFonts w:ascii="Courier New" w:hAnsi="Courier New"/>
                <w:color w:val="1A1A55"/>
                <w:sz w:val="18"/>
              </w:rPr>
              <w:t>df_ctx = pd.read_csv('regulons.csv', header=[0,1], index_col=[0,1])</w:t>
            </w:r>
          </w:p>
          <w:p>
            <w:pPr>
              <w:spacing w:before="0" w:after="0"/>
            </w:pPr>
            <w:r>
              <w:rPr>
                <w:rFonts w:ascii="Courier New" w:hAnsi="Courier New"/>
                <w:color w:val="1A1A55"/>
                <w:sz w:val="18"/>
              </w:rPr>
              <w:t># Aplanar las cabeceras dobles a una sola fila:</w:t>
            </w:r>
          </w:p>
          <w:p>
            <w:pPr>
              <w:spacing w:before="0" w:after="0"/>
            </w:pPr>
            <w:r>
              <w:rPr>
                <w:rFonts w:ascii="Courier New" w:hAnsi="Courier New"/>
                <w:color w:val="1A1A55"/>
                <w:sz w:val="18"/>
              </w:rPr>
              <w:t>df_ctx.columns = [' '.join(c).strip() for c in df_ctx.columns]</w:t>
            </w:r>
          </w:p>
          <w:p>
            <w:pPr>
              <w:spacing w:before="0" w:after="0"/>
            </w:pPr>
            <w:r>
              <w:rPr>
                <w:rFonts w:ascii="Courier New" w:hAnsi="Courier New"/>
                <w:color w:val="1A1A55"/>
                <w:sz w:val="18"/>
              </w:rPr>
              <w:t>df_ctx = df_ctx.reset_index()</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Paso 2: construir objetos GeneSignature ─────────────────────────</w:t>
            </w:r>
          </w:p>
          <w:p>
            <w:pPr>
              <w:spacing w:before="0" w:after="0"/>
            </w:pPr>
            <w:r>
              <w:rPr>
                <w:rFonts w:ascii="Courier New" w:hAnsi="Courier New"/>
                <w:color w:val="1A1A55"/>
                <w:sz w:val="18"/>
              </w:rPr>
              <w:t># Un GeneSignature = un regulón = (nombre_TF, diccionario gen → peso)</w:t>
            </w:r>
          </w:p>
          <w:p>
            <w:pPr>
              <w:spacing w:before="0" w:after="0"/>
            </w:pPr>
            <w:r>
              <w:rPr>
                <w:rFonts w:ascii="Courier New" w:hAnsi="Courier New"/>
                <w:color w:val="1A1A55"/>
                <w:sz w:val="18"/>
              </w:rPr>
              <w:t>signatures = []</w:t>
            </w:r>
          </w:p>
          <w:p>
            <w:pPr>
              <w:spacing w:before="0" w:after="0"/>
            </w:pPr>
            <w:r>
              <w:rPr>
                <w:rFonts w:ascii="Courier New" w:hAnsi="Courier New"/>
                <w:color w:val="1A1A55"/>
                <w:sz w:val="18"/>
              </w:rPr>
              <w:t>for _, fila in df_ctx.iterrows():    # recorrer cada regulón</w:t>
            </w:r>
          </w:p>
          <w:p>
            <w:pPr>
              <w:spacing w:before="0" w:after="0"/>
            </w:pPr>
            <w:r>
              <w:rPr>
                <w:rFonts w:ascii="Courier New" w:hAnsi="Courier New"/>
                <w:color w:val="1A1A55"/>
                <w:sz w:val="18"/>
              </w:rPr>
              <w:t xml:space="preserve">    nombre_tf = str(fila['TF'])</w:t>
            </w:r>
          </w:p>
          <w:p>
            <w:pPr>
              <w:spacing w:before="0" w:after="0"/>
            </w:pPr>
            <w:r>
              <w:rPr>
                <w:rFonts w:ascii="Courier New" w:hAnsi="Courier New"/>
                <w:color w:val="1A1A55"/>
                <w:sz w:val="18"/>
              </w:rPr>
              <w:t xml:space="preserve">    # La columna TargetGenes contiene texto como: [('GEN1', 1), ('GEN2', 1)]</w:t>
            </w:r>
          </w:p>
          <w:p>
            <w:pPr>
              <w:spacing w:before="0" w:after="0"/>
            </w:pPr>
            <w:r>
              <w:rPr>
                <w:rFonts w:ascii="Courier New" w:hAnsi="Courier New"/>
                <w:color w:val="1A1A55"/>
                <w:sz w:val="18"/>
              </w:rPr>
              <w:t xml:space="preserve">    # ast.literal_eval() convierte ese texto a una lista de Python:</w:t>
            </w:r>
          </w:p>
          <w:p>
            <w:pPr>
              <w:spacing w:before="0" w:after="0"/>
            </w:pPr>
            <w:r>
              <w:rPr>
                <w:rFonts w:ascii="Courier New" w:hAnsi="Courier New"/>
                <w:color w:val="1A1A55"/>
                <w:sz w:val="18"/>
              </w:rPr>
              <w:t xml:space="preserve">    genes = [t[0] for t in ast.literal_eval(str(fila['TargetGenes']))]</w:t>
            </w:r>
          </w:p>
          <w:p>
            <w:pPr>
              <w:spacing w:before="0" w:after="0"/>
            </w:pPr>
            <w:r>
              <w:rPr>
                <w:rFonts w:ascii="Courier New" w:hAnsi="Courier New"/>
                <w:color w:val="1A1A55"/>
                <w:sz w:val="18"/>
              </w:rPr>
              <w:t xml:space="preserve">    if genes:  # solo si hay genes en el regulón</w:t>
            </w:r>
          </w:p>
          <w:p>
            <w:pPr>
              <w:spacing w:before="0" w:after="0"/>
            </w:pPr>
            <w:r>
              <w:rPr>
                <w:rFonts w:ascii="Courier New" w:hAnsi="Courier New"/>
                <w:color w:val="1A1A55"/>
                <w:sz w:val="18"/>
              </w:rPr>
              <w:t xml:space="preserve">        firma = GeneSignature(</w:t>
            </w:r>
          </w:p>
          <w:p>
            <w:pPr>
              <w:spacing w:before="0" w:after="0"/>
            </w:pPr>
            <w:r>
              <w:rPr>
                <w:rFonts w:ascii="Courier New" w:hAnsi="Courier New"/>
                <w:color w:val="1A1A55"/>
                <w:sz w:val="18"/>
              </w:rPr>
              <w:t xml:space="preserve">            name=f'{nombre_tf}(+)',</w:t>
            </w:r>
          </w:p>
          <w:p>
            <w:pPr>
              <w:spacing w:before="0" w:after="0"/>
            </w:pPr>
            <w:r>
              <w:rPr>
                <w:rFonts w:ascii="Courier New" w:hAnsi="Courier New"/>
                <w:color w:val="1A1A55"/>
                <w:sz w:val="18"/>
              </w:rPr>
              <w:t xml:space="preserve">            gene2weight={gen: 1.0 for gen in genes}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signatures.append(firma)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Paso 3: calcular AUCell ─────────────────────────────────────────</w:t>
            </w:r>
          </w:p>
          <w:p>
            <w:pPr>
              <w:spacing w:before="0" w:after="0"/>
            </w:pPr>
            <w:r>
              <w:rPr>
                <w:rFonts w:ascii="Courier New" w:hAnsi="Courier New"/>
                <w:color w:val="1A1A55"/>
                <w:sz w:val="18"/>
              </w:rPr>
              <w:t># Misma función que usaba el CLI internamente, pero llamada directamente:</w:t>
            </w:r>
          </w:p>
          <w:p>
            <w:pPr>
              <w:spacing w:before="0" w:after="0"/>
            </w:pPr>
            <w:r>
              <w:rPr>
                <w:rFonts w:ascii="Courier New" w:hAnsi="Courier New"/>
                <w:color w:val="1A1A55"/>
                <w:sz w:val="18"/>
              </w:rPr>
              <w:t>auc_matrix = pyscenic_aucell(</w:t>
            </w:r>
          </w:p>
          <w:p>
            <w:pPr>
              <w:spacing w:before="0" w:after="0"/>
            </w:pPr>
            <w:r>
              <w:rPr>
                <w:rFonts w:ascii="Courier New" w:hAnsi="Courier New"/>
                <w:color w:val="1A1A55"/>
                <w:sz w:val="18"/>
              </w:rPr>
              <w:t xml:space="preserve">    ex_matrix,    # matriz de expresión: células × genes</w:t>
            </w:r>
          </w:p>
          <w:p>
            <w:pPr>
              <w:spacing w:before="0" w:after="0"/>
            </w:pPr>
            <w:r>
              <w:rPr>
                <w:rFonts w:ascii="Courier New" w:hAnsi="Courier New"/>
                <w:color w:val="1A1A55"/>
                <w:sz w:val="18"/>
              </w:rPr>
              <w:t xml:space="preserve">    signatures,   # lista de regulones (GeneSignature)</w:t>
            </w:r>
          </w:p>
          <w:p>
            <w:pPr>
              <w:spacing w:before="0" w:after="0"/>
            </w:pPr>
            <w:r>
              <w:rPr>
                <w:rFonts w:ascii="Courier New" w:hAnsi="Courier New"/>
                <w:color w:val="1A1A55"/>
                <w:sz w:val="18"/>
              </w:rPr>
              <w:t xml:space="preserve">    num_workers=1 # usar 1 núcleo (para compatibilidad en WSL)</w:t>
            </w:r>
          </w:p>
          <w:p>
            <w:pPr>
              <w:spacing w:before="0" w:after="0"/>
            </w:pPr>
            <w:r>
              <w:rPr>
                <w:rFonts w:ascii="Courier New" w:hAnsi="Courier New"/>
                <w:color w:val="1A1A55"/>
                <w:sz w:val="18"/>
              </w:rPr>
              <w:t>)</w:t>
            </w:r>
          </w:p>
          <w:p>
            <w:pPr>
              <w:spacing w:before="0" w:after="0"/>
            </w:pPr>
            <w:r>
              <w:rPr>
                <w:rFonts w:ascii="Courier New" w:hAnsi="Courier New"/>
                <w:color w:val="1A1A55"/>
                <w:sz w:val="18"/>
              </w:rPr>
              <w:t># auc_matrix: DataFrame con células en filas, regulones en columnas</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La función aucell() que se llama directamente es exactamente la misma que invoca el CLI internamente. Los scores AUC son matemáticamente idénticos. No hay diferencia en los resultados, solo en cómo se invoca la función.</w:t>
            </w:r>
          </w:p>
        </w:tc>
      </w:tr>
    </w:tbl>
    <w:p>
      <w:pPr>
        <w:spacing w:after="120"/>
      </w:pPr>
    </w:p>
    <w:p>
      <w:pPr>
        <w:pStyle w:val="Heading2"/>
        <w:spacing w:before="240" w:after="120"/>
        <w:jc w:val="left"/>
      </w:pPr>
      <w:r>
        <w:rPr>
          <w:b/>
          <w:color w:val="2E5F9A"/>
          <w:sz w:val="28"/>
        </w:rPr>
        <w:t>5.3  Cambio 3 — cisTarget: sin cambios</w:t>
      </w:r>
    </w:p>
    <w:p>
      <w:pPr>
        <w:spacing w:after="140" w:before="0"/>
      </w:pPr>
      <w:r>
        <w:rPr>
          <w:sz w:val="21"/>
        </w:rPr>
        <w:t>cisTarget es el paso que transforma una lista de correlaciones estadísticas (las adjacencias del GRNBoost2) en regulones biológicamente validados. Lo hace buscando si el motivo de unión al ADN del TF está enriquecido en los promotores de sus genes objetivo, usando bases de datos genómicas precalculadas.</w:t>
      </w:r>
    </w:p>
    <w:p>
      <w:pPr>
        <w:spacing w:after="140" w:before="0"/>
      </w:pPr>
      <w:r>
        <w:rPr>
          <w:sz w:val="21"/>
        </w:rPr>
        <w:t>Este paso no tuvo ningún cambio. Se invoca exactamente como en el tutorial original:</w:t>
      </w:r>
    </w:p>
    <w:p>
      <w:pPr>
        <w:spacing w:after="20" w:before="160"/>
      </w:pPr>
      <w:r>
        <w:rPr>
          <w:b/>
          <w:color w:val="334477"/>
          <w:sz w:val="18"/>
        </w:rPr>
        <w:t xml:space="preserve">  ▶  cisTarget — sin cambios respecto al tutorial</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cisTarget — idéntico al tutorial original</w:t>
            </w:r>
          </w:p>
          <w:p>
            <w:pPr>
              <w:spacing w:before="0" w:after="0"/>
            </w:pPr>
            <w:r>
              <w:rPr>
                <w:rFonts w:ascii="Courier New" w:hAnsi="Courier New"/>
                <w:color w:val="1A1A55"/>
                <w:sz w:val="18"/>
              </w:rPr>
              <w:t># Se llama vía subprocess desde Python:</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subprocess.run([</w:t>
            </w:r>
          </w:p>
          <w:p>
            <w:pPr>
              <w:spacing w:before="0" w:after="0"/>
            </w:pPr>
            <w:r>
              <w:rPr>
                <w:rFonts w:ascii="Courier New" w:hAnsi="Courier New"/>
                <w:color w:val="1A1A55"/>
                <w:sz w:val="18"/>
              </w:rPr>
              <w:t xml:space="preserve">    'pyscenic', 'ctx',</w:t>
            </w:r>
          </w:p>
          <w:p>
            <w:pPr>
              <w:spacing w:before="0" w:after="0"/>
            </w:pPr>
            <w:r>
              <w:rPr>
                <w:rFonts w:ascii="Courier New" w:hAnsi="Courier New"/>
                <w:color w:val="1A1A55"/>
                <w:sz w:val="18"/>
              </w:rPr>
              <w:t xml:space="preserve">    str(adj_path),                  # adjacencies.tsv del paso anterior</w:t>
            </w:r>
          </w:p>
          <w:p>
            <w:pPr>
              <w:spacing w:before="0" w:after="0"/>
            </w:pPr>
            <w:r>
              <w:rPr>
                <w:rFonts w:ascii="Courier New" w:hAnsi="Courier New"/>
                <w:color w:val="1A1A55"/>
                <w:sz w:val="18"/>
              </w:rPr>
              <w:t xml:space="preserve">    str(RANKING_PATH),              # base de datos genómica hg38 (311 MB)</w:t>
            </w:r>
          </w:p>
          <w:p>
            <w:pPr>
              <w:spacing w:before="0" w:after="0"/>
            </w:pPr>
            <w:r>
              <w:rPr>
                <w:rFonts w:ascii="Courier New" w:hAnsi="Courier New"/>
                <w:color w:val="1A1A55"/>
                <w:sz w:val="18"/>
              </w:rPr>
              <w:t xml:space="preserve">    '--annotations_fname', str(MOTIFS_PATH),  # tabla de motivos TF-DNA (98 MB)</w:t>
            </w:r>
          </w:p>
          <w:p>
            <w:pPr>
              <w:spacing w:before="0" w:after="0"/>
            </w:pPr>
            <w:r>
              <w:rPr>
                <w:rFonts w:ascii="Courier New" w:hAnsi="Courier New"/>
                <w:color w:val="1A1A55"/>
                <w:sz w:val="18"/>
              </w:rPr>
              <w:t xml:space="preserve">    '--expression_mtx_fname', str(LOOM_PATH), # matriz de expresión original</w:t>
            </w:r>
          </w:p>
          <w:p>
            <w:pPr>
              <w:spacing w:before="0" w:after="0"/>
            </w:pPr>
            <w:r>
              <w:rPr>
                <w:rFonts w:ascii="Courier New" w:hAnsi="Courier New"/>
                <w:color w:val="1A1A55"/>
                <w:sz w:val="18"/>
              </w:rPr>
              <w:t xml:space="preserve">    '--output', str(regulons_path), # regulons.csv de salida</w:t>
            </w:r>
          </w:p>
          <w:p>
            <w:pPr>
              <w:spacing w:before="0" w:after="0"/>
            </w:pPr>
            <w:r>
              <w:rPr>
                <w:rFonts w:ascii="Courier New" w:hAnsi="Courier New"/>
                <w:color w:val="1A1A55"/>
                <w:sz w:val="18"/>
              </w:rPr>
              <w:t xml:space="preserve">    '--num_workers', '1',           # un solo núcleo</w:t>
            </w:r>
          </w:p>
          <w:p>
            <w:pPr>
              <w:spacing w:before="0" w:after="0"/>
            </w:pPr>
            <w:r>
              <w:rPr>
                <w:rFonts w:ascii="Courier New" w:hAnsi="Courier New"/>
                <w:color w:val="1A1A55"/>
                <w:sz w:val="18"/>
              </w:rPr>
              <w:t>])</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Las bases de datos que usa:</w:t>
            </w:r>
          </w:p>
          <w:p>
            <w:pPr>
              <w:spacing w:before="0" w:after="0"/>
            </w:pPr>
            <w:r>
              <w:rPr>
                <w:rFonts w:ascii="Courier New" w:hAnsi="Courier New"/>
                <w:color w:val="1A1A55"/>
                <w:sz w:val="18"/>
              </w:rPr>
              <w:t># 1. hg38_10kbp_up_10kbp_down_full_tx_v10_clust.genes_vs_motifs.rankings.feather</w:t>
            </w:r>
          </w:p>
          <w:p>
            <w:pPr>
              <w:spacing w:before="0" w:after="0"/>
            </w:pPr>
            <w:r>
              <w:rPr>
                <w:rFonts w:ascii="Courier New" w:hAnsi="Courier New"/>
                <w:color w:val="1A1A55"/>
                <w:sz w:val="18"/>
              </w:rPr>
              <w:t>#    → Contiene rankings de motivos en promotores de ~20,000 genes humanos (hg38)</w:t>
            </w:r>
          </w:p>
          <w:p>
            <w:pPr>
              <w:spacing w:before="0" w:after="0"/>
            </w:pPr>
            <w:r>
              <w:rPr>
                <w:rFonts w:ascii="Courier New" w:hAnsi="Courier New"/>
                <w:color w:val="1A1A55"/>
                <w:sz w:val="18"/>
              </w:rPr>
              <w:t>#    → Tamaño: 311 MB</w:t>
            </w:r>
          </w:p>
          <w:p>
            <w:pPr>
              <w:spacing w:before="0" w:after="0"/>
            </w:pPr>
            <w:r>
              <w:rPr>
                <w:rFonts w:ascii="Courier New" w:hAnsi="Courier New"/>
                <w:color w:val="1A1A55"/>
                <w:sz w:val="18"/>
              </w:rPr>
              <w:t># 2. motifs-v10nr_clust-nr.hgnc-m0.001-o0.0.tbl</w:t>
            </w:r>
          </w:p>
          <w:p>
            <w:pPr>
              <w:spacing w:before="0" w:after="0"/>
            </w:pPr>
            <w:r>
              <w:rPr>
                <w:rFonts w:ascii="Courier New" w:hAnsi="Courier New"/>
                <w:color w:val="1A1A55"/>
                <w:sz w:val="18"/>
              </w:rPr>
              <w:t>#    → Mapeo de motivos a TFs: 'este motivo pertenece a este TF'</w:t>
            </w:r>
          </w:p>
          <w:p>
            <w:pPr>
              <w:spacing w:before="0" w:after="0"/>
            </w:pPr>
            <w:r>
              <w:rPr>
                <w:rFonts w:ascii="Courier New" w:hAnsi="Courier New"/>
                <w:color w:val="1A1A55"/>
                <w:sz w:val="18"/>
              </w:rPr>
              <w:t>#    → Tamaño: 98 MB</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Estado: compatible y funcional con pySCENIC 0.12.1. No requirió ninguna adaptación.</w:t>
            </w:r>
          </w:p>
        </w:tc>
      </w:tr>
    </w:tbl>
    <w:p>
      <w:pPr>
        <w:spacing w:after="120"/>
      </w:pPr>
    </w:p>
    <w:p>
      <w:pPr>
        <w:pStyle w:val="Heading2"/>
        <w:spacing w:before="240" w:after="120"/>
        <w:jc w:val="left"/>
      </w:pPr>
      <w:r>
        <w:rPr>
          <w:b/>
          <w:color w:val="2E5F9A"/>
          <w:sz w:val="28"/>
        </w:rPr>
        <w:t>5.4  Cambio 4 — Fallback cuando cisTarget devuelve cero regulones</w:t>
      </w:r>
    </w:p>
    <w:p>
      <w:pPr>
        <w:pStyle w:val="Heading3"/>
        <w:spacing w:before="160" w:after="120"/>
        <w:jc w:val="left"/>
      </w:pPr>
      <w:r>
        <w:rPr>
          <w:b/>
          <w:color w:val="334477"/>
          <w:sz w:val="24"/>
        </w:rPr>
        <w:t>Contexto: el dataset de prueba y sus limitaciones</w:t>
      </w:r>
    </w:p>
    <w:p>
      <w:pPr>
        <w:spacing w:after="140" w:before="0"/>
      </w:pPr>
      <w:r>
        <w:rPr>
          <w:sz w:val="21"/>
        </w:rPr>
        <w:t>El protocolo SCENIC ofrece un dataset de demostración muy pequeño para poder ejecutar el pipeline rápidamente y verificar que la instalación funciona. Este dataset se llama 'tiny' y contiene pocas células con pocos genes. Más importante: la lista de TFs de prueba (test_TFs_tiny.txt) contiene principalmente un TF llamado BRF1.</w:t>
      </w:r>
    </w:p>
    <w:p>
      <w:pPr>
        <w:spacing w:after="140" w:before="0"/>
      </w:pPr>
      <w:r>
        <w:rPr>
          <w:sz w:val="21"/>
        </w:rPr>
        <w:t>BRF1 (Transcription Factor IIIB 90 kDa Subunit, también llamado BRF1 o TFIIIB90) es un componente del factor de transcripción general TFIIIB, que es parte del complejo de iniciación de la RNA Polimerasa III (Pol III). Su función es controlar la transcripción de genes no codificantes: ARN de transferencia (tRNA), ARN ribosomal 5S, ARN nucleares pequeños (snRNA), etc.</w:t>
      </w:r>
    </w:p>
    <w:p>
      <w:pPr>
        <w:pStyle w:val="Heading3"/>
        <w:spacing w:before="160" w:after="120"/>
        <w:jc w:val="left"/>
      </w:pPr>
      <w:r>
        <w:rPr>
          <w:b/>
          <w:color w:val="334477"/>
          <w:sz w:val="24"/>
        </w:rPr>
        <w:t>¿Por qué BRF1 produce cero regulones en cisTarget?</w:t>
      </w:r>
    </w:p>
    <w:p>
      <w:pPr>
        <w:spacing w:after="140" w:before="0"/>
      </w:pPr>
      <w:r>
        <w:rPr>
          <w:sz w:val="21"/>
        </w:rPr>
        <w:t>cisTarget busca si el motivo de unión al ADN del TF está enriquecido en los promotores de los genes del transcriptoma. Sin embargo, la base de datos genómica que usa (hg38_rankings.feather) solo contiene información de los promotores de genes codificantes de proteínas — los ~20,000 genes que producen proteínas.</w:t>
      </w:r>
    </w:p>
    <w:p>
      <w:pPr>
        <w:spacing w:after="140" w:before="0"/>
      </w:pPr>
      <w:r>
        <w:rPr>
          <w:sz w:val="21"/>
        </w:rPr>
        <w:t>Los genes regulados por BRF1 (tRNAs, 5S rRNA, etc.) NO son genes codificantes de proteínas. Por eso no están en la base de datos. cisTarget busca el motivo de BRF1 en promotores de genes codificantes, no lo encuentra (porque BRF1 no regula esos genes), y devuelve cero regulones.</w:t>
      </w:r>
    </w:p>
    <w:p>
      <w:pPr>
        <w:spacing w:after="20" w:before="160"/>
      </w:pPr>
      <w:r>
        <w:rPr>
          <w:b/>
          <w:color w:val="334477"/>
          <w:sz w:val="18"/>
        </w:rPr>
        <w:t xml:space="preserve">  ▶  Por qué BRF1 no produce regulones</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cisTarget busca en la base de datos:</w:t>
            </w:r>
          </w:p>
          <w:p>
            <w:pPr>
              <w:spacing w:before="0" w:after="0"/>
            </w:pPr>
            <w:r>
              <w:rPr>
                <w:rFonts w:ascii="Courier New" w:hAnsi="Courier New"/>
                <w:color w:val="1A1A55"/>
                <w:sz w:val="18"/>
              </w:rPr>
              <w:t>#</w:t>
            </w:r>
          </w:p>
          <w:p>
            <w:pPr>
              <w:spacing w:before="0" w:after="0"/>
            </w:pPr>
            <w:r>
              <w:rPr>
                <w:rFonts w:ascii="Courier New" w:hAnsi="Courier New"/>
                <w:color w:val="1A1A55"/>
                <w:sz w:val="18"/>
              </w:rPr>
              <w:t>#   Gen     Ranking de motivos en su promotor</w:t>
            </w:r>
          </w:p>
          <w:p>
            <w:pPr>
              <w:spacing w:before="0" w:after="0"/>
            </w:pPr>
            <w:r>
              <w:rPr>
                <w:rFonts w:ascii="Courier New" w:hAnsi="Courier New"/>
                <w:color w:val="1A1A55"/>
                <w:sz w:val="18"/>
              </w:rPr>
              <w:t>#   HBB     [motivo_GATA1, motivo_KLF1, motivo_NRF2, ...]   ← gene codificante ✓</w:t>
            </w:r>
          </w:p>
          <w:p>
            <w:pPr>
              <w:spacing w:before="0" w:after="0"/>
            </w:pPr>
            <w:r>
              <w:rPr>
                <w:rFonts w:ascii="Courier New" w:hAnsi="Courier New"/>
                <w:color w:val="1A1A55"/>
                <w:sz w:val="18"/>
              </w:rPr>
              <w:t>#   HBA1    [motivo_GATA1, motivo_SP1, motivo_NF-E2, ...]   ← gene codificante ✓</w:t>
            </w:r>
          </w:p>
          <w:p>
            <w:pPr>
              <w:spacing w:before="0" w:after="0"/>
            </w:pPr>
            <w:r>
              <w:rPr>
                <w:rFonts w:ascii="Courier New" w:hAnsi="Courier New"/>
                <w:color w:val="1A1A55"/>
                <w:sz w:val="18"/>
              </w:rPr>
              <w:t>#   MYC     [motivo_E2F, motivo_MYC, motivo_SP1, ...]       ← gene codificante ✓</w:t>
            </w:r>
          </w:p>
          <w:p>
            <w:pPr>
              <w:spacing w:before="0" w:after="0"/>
            </w:pPr>
            <w:r>
              <w:rPr>
                <w:rFonts w:ascii="Courier New" w:hAnsi="Courier New"/>
                <w:color w:val="1A1A55"/>
                <w:sz w:val="18"/>
              </w:rPr>
              <w:t>#   tRNA-Ala  NO ESTÁ en la base de datos                   ← gene de tRNA ✗</w:t>
            </w:r>
          </w:p>
          <w:p>
            <w:pPr>
              <w:spacing w:before="0" w:after="0"/>
            </w:pPr>
            <w:r>
              <w:rPr>
                <w:rFonts w:ascii="Courier New" w:hAnsi="Courier New"/>
                <w:color w:val="1A1A55"/>
                <w:sz w:val="18"/>
              </w:rPr>
              <w:t>#   5S rRNA   NO ESTÁ en la base de datos                   ← gene de ARNr ✗</w:t>
            </w:r>
          </w:p>
          <w:p>
            <w:pPr>
              <w:spacing w:before="0" w:after="0"/>
            </w:pPr>
            <w:r>
              <w:rPr>
                <w:rFonts w:ascii="Courier New" w:hAnsi="Courier New"/>
                <w:color w:val="1A1A55"/>
                <w:sz w:val="18"/>
              </w:rPr>
              <w:t>#</w:t>
            </w:r>
          </w:p>
          <w:p>
            <w:pPr>
              <w:spacing w:before="0" w:after="0"/>
            </w:pPr>
            <w:r>
              <w:rPr>
                <w:rFonts w:ascii="Courier New" w:hAnsi="Courier New"/>
                <w:color w:val="1A1A55"/>
                <w:sz w:val="18"/>
              </w:rPr>
              <w:t># Conclusión: el motivo de BRF1 nunca aparece enriquecido</w:t>
            </w:r>
          </w:p>
          <w:p>
            <w:pPr>
              <w:spacing w:before="0" w:after="0"/>
            </w:pPr>
            <w:r>
              <w:rPr>
                <w:rFonts w:ascii="Courier New" w:hAnsi="Courier New"/>
                <w:color w:val="1A1A55"/>
                <w:sz w:val="18"/>
              </w:rPr>
              <w:t># porque los genes que BRF1 regula no están en la DB.</w:t>
            </w:r>
          </w:p>
          <w:p>
            <w:pPr>
              <w:spacing w:before="0" w:after="0"/>
            </w:pPr>
            <w:r>
              <w:rPr>
                <w:rFonts w:ascii="Courier New" w:hAnsi="Courier New"/>
                <w:color w:val="1A1A55"/>
                <w:sz w:val="18"/>
              </w:rPr>
              <w:t># cisTarget devuelve 0 regulones.</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FFF8E1"/>
            <w:tcBorders>
              <w:top w:val="single" w:sz="8" w:space="0" w:color="B7860B"/>
              <w:left w:val="single" w:sz="8" w:space="0" w:color="B7860B"/>
              <w:bottom w:val="single" w:sz="8" w:space="0" w:color="B7860B"/>
              <w:right w:val="single" w:sz="8" w:space="0" w:color="B7860B"/>
            </w:tcBorders>
            <w:tcMar>
              <w:top w:w="100" w:type="dxa"/>
              <w:left w:w="100" w:type="dxa"/>
              <w:bottom w:w="100" w:type="dxa"/>
              <w:right w:w="100" w:type="dxa"/>
            </w:tcMar>
          </w:tcPr>
          <w:p>
            <w:pPr>
              <w:spacing w:before="60" w:after="60"/>
            </w:pPr>
            <w:r>
              <w:rPr>
                <w:b w:val="0"/>
                <w:color w:val="1A1A44"/>
                <w:sz w:val="20"/>
              </w:rPr>
              <w:t>💡  Analogía:  Es como buscar en un directorio de especialistas médicos (solo médicos con título) a un técnico de laboratorio. El técnico es real y competente, pero no aparece en ese directorio porque no tiene el tipo de credencial que el directorio cataloga. BRF1 es un TF real y funcional, pero regula genes de un tipo diferente al que cataloga la base de datos de cisTarget.</w:t>
            </w:r>
          </w:p>
        </w:tc>
      </w:tr>
    </w:tbl>
    <w:p>
      <w:pPr>
        <w:spacing w:after="120"/>
      </w:pPr>
    </w:p>
    <w:p>
      <w:pPr>
        <w:pStyle w:val="Heading3"/>
        <w:spacing w:before="160" w:after="120"/>
        <w:jc w:val="left"/>
      </w:pPr>
      <w:r>
        <w:rPr>
          <w:b/>
          <w:color w:val="334477"/>
          <w:sz w:val="24"/>
        </w:rPr>
        <w:t>¿Cómo se resuelve?</w:t>
      </w:r>
    </w:p>
    <w:p>
      <w:pPr>
        <w:spacing w:after="140" w:before="0"/>
      </w:pPr>
      <w:r>
        <w:rPr>
          <w:sz w:val="21"/>
        </w:rPr>
        <w:t>El script detecta automáticamente si cisTarget devolvió cero regulones. Si ocurre, activa un mecanismo de respaldo (fallback): construye regulones directamente desde las adjacencias del GRNBoost2, sin la validación de motivos. Esto permite demostrar el flujo completo del pipeline hasta la visualización final.</w:t>
      </w:r>
    </w:p>
    <w:p>
      <w:pPr>
        <w:spacing w:after="20" w:before="160"/>
      </w:pPr>
      <w:r>
        <w:rPr>
          <w:b/>
          <w:color w:val="334477"/>
          <w:sz w:val="18"/>
        </w:rPr>
        <w:t xml:space="preserve">  ▶  Lógica del fallback anotada línea por línea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El script verifica el resultado de cisTarget:</w:t>
            </w:r>
          </w:p>
          <w:p>
            <w:pPr>
              <w:spacing w:before="0" w:after="0"/>
            </w:pPr>
            <w:r>
              <w:rPr>
                <w:rFonts w:ascii="Courier New" w:hAnsi="Courier New"/>
                <w:color w:val="1A1A55"/>
                <w:sz w:val="18"/>
              </w:rPr>
              <w:t>try:</w:t>
            </w:r>
          </w:p>
          <w:p>
            <w:pPr>
              <w:spacing w:before="0" w:after="0"/>
            </w:pPr>
            <w:r>
              <w:rPr>
                <w:rFonts w:ascii="Courier New" w:hAnsi="Courier New"/>
                <w:color w:val="1A1A55"/>
                <w:sz w:val="18"/>
              </w:rPr>
              <w:t xml:space="preserve">    df_ctx = pd.read_csv(regulons_path, index_col=[0,1], header=[0,1])</w:t>
            </w:r>
          </w:p>
          <w:p>
            <w:pPr>
              <w:spacing w:before="0" w:after="0"/>
            </w:pPr>
            <w:r>
              <w:rPr>
                <w:rFonts w:ascii="Courier New" w:hAnsi="Courier New"/>
                <w:color w:val="1A1A55"/>
                <w:sz w:val="18"/>
              </w:rPr>
              <w:t xml:space="preserve">    n_regulons = len(df_ctx)   # contar filas = número de regulones</w:t>
            </w:r>
          </w:p>
          <w:p>
            <w:pPr>
              <w:spacing w:before="0" w:after="0"/>
            </w:pPr>
            <w:r>
              <w:rPr>
                <w:rFonts w:ascii="Courier New" w:hAnsi="Courier New"/>
                <w:color w:val="1A1A55"/>
                <w:sz w:val="18"/>
              </w:rPr>
              <w:t>except Exception:</w:t>
            </w:r>
          </w:p>
          <w:p>
            <w:pPr>
              <w:spacing w:before="0" w:after="0"/>
            </w:pPr>
            <w:r>
              <w:rPr>
                <w:rFonts w:ascii="Courier New" w:hAnsi="Courier New"/>
                <w:color w:val="1A1A55"/>
                <w:sz w:val="18"/>
              </w:rPr>
              <w:t xml:space="preserve">    n_regulons = 0</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rlog(f'- Regulones identificados: {n_regulons}')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 Bifurcación: caso normal vs. fallback ──────────────────────────</w:t>
            </w:r>
          </w:p>
          <w:p>
            <w:pPr>
              <w:spacing w:before="0" w:after="0"/>
            </w:pPr>
            <w:r>
              <w:rPr>
                <w:rFonts w:ascii="Courier New" w:hAnsi="Courier New"/>
                <w:color w:val="1A1A55"/>
                <w:sz w:val="18"/>
              </w:rPr>
              <w:t>if n_regulons &gt; 0:</w:t>
            </w:r>
          </w:p>
          <w:p>
            <w:pPr>
              <w:spacing w:before="0" w:after="0"/>
            </w:pPr>
            <w:r>
              <w:rPr>
                <w:rFonts w:ascii="Courier New" w:hAnsi="Courier New"/>
                <w:color w:val="1A1A55"/>
                <w:sz w:val="18"/>
              </w:rPr>
              <w:t xml:space="preserve">    # CASO NORMAL (datos reales con TFs canónicos)</w:t>
            </w:r>
          </w:p>
          <w:p>
            <w:pPr>
              <w:spacing w:before="0" w:after="0"/>
            </w:pPr>
            <w:r>
              <w:rPr>
                <w:rFonts w:ascii="Courier New" w:hAnsi="Courier New"/>
                <w:color w:val="1A1A55"/>
                <w:sz w:val="18"/>
              </w:rPr>
              <w:t xml:space="preserve">    rlog('- Usando regulones de cisTarget (con validación de motivos)')</w:t>
            </w:r>
          </w:p>
          <w:p>
            <w:pPr>
              <w:spacing w:before="0" w:after="0"/>
            </w:pPr>
            <w:r>
              <w:rPr>
                <w:rFonts w:ascii="Courier New" w:hAnsi="Courier New"/>
                <w:color w:val="1A1A55"/>
                <w:sz w:val="18"/>
              </w:rPr>
              <w:t xml:space="preserve">    # ... leer regulons.csv y construir GeneSignatures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else:</w:t>
            </w:r>
          </w:p>
          <w:p>
            <w:pPr>
              <w:spacing w:before="0" w:after="0"/>
            </w:pPr>
            <w:r>
              <w:rPr>
                <w:rFonts w:ascii="Courier New" w:hAnsi="Courier New"/>
                <w:color w:val="1A1A55"/>
                <w:sz w:val="18"/>
              </w:rPr>
              <w:t xml:space="preserve">    # FALLBACK (dataset tiny con BRF1)</w:t>
            </w:r>
          </w:p>
          <w:p>
            <w:pPr>
              <w:spacing w:before="0" w:after="0"/>
            </w:pPr>
            <w:r>
              <w:rPr>
                <w:rFonts w:ascii="Courier New" w:hAnsi="Courier New"/>
                <w:color w:val="1A1A55"/>
                <w:sz w:val="18"/>
              </w:rPr>
              <w:t xml:space="preserve">    rlog('- ALERTA: cisTarget devolvió 0 regulones')</w:t>
            </w:r>
          </w:p>
          <w:p>
            <w:pPr>
              <w:spacing w:before="0" w:after="0"/>
            </w:pPr>
            <w:r>
              <w:rPr>
                <w:rFonts w:ascii="Courier New" w:hAnsi="Courier New"/>
                <w:color w:val="1A1A55"/>
                <w:sz w:val="18"/>
              </w:rPr>
              <w:t xml:space="preserve">    rlog('- Causa probable: TF de Pol III sin motivos en DB de genes codificantes')</w:t>
            </w:r>
          </w:p>
          <w:p>
            <w:pPr>
              <w:spacing w:before="0" w:after="0"/>
            </w:pPr>
            <w:r>
              <w:rPr>
                <w:rFonts w:ascii="Courier New" w:hAnsi="Courier New"/>
                <w:color w:val="1A1A55"/>
                <w:sz w:val="18"/>
              </w:rPr>
              <w:t xml:space="preserve">    rlog('- Activando fallback: regulones desde adjacencias GRN (sin motivos)')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for tf, grupo in adjacencies.groupby('TF'):</w:t>
            </w:r>
          </w:p>
          <w:p>
            <w:pPr>
              <w:spacing w:before="0" w:after="0"/>
            </w:pPr>
            <w:r>
              <w:rPr>
                <w:rFonts w:ascii="Courier New" w:hAnsi="Courier New"/>
                <w:color w:val="1A1A55"/>
                <w:sz w:val="18"/>
              </w:rPr>
              <w:t xml:space="preserve">        genes = grupo['target'].tolist()</w:t>
            </w:r>
          </w:p>
          <w:p>
            <w:pPr>
              <w:spacing w:before="0" w:after="0"/>
            </w:pPr>
            <w:r>
              <w:rPr>
                <w:rFonts w:ascii="Courier New" w:hAnsi="Courier New"/>
                <w:color w:val="1A1A55"/>
                <w:sz w:val="18"/>
              </w:rPr>
              <w:t xml:space="preserve">        pesos = dict(zip(genes, grupo['importance']))</w:t>
            </w:r>
          </w:p>
          <w:p>
            <w:pPr>
              <w:spacing w:before="0" w:after="0"/>
            </w:pPr>
            <w:r>
              <w:rPr>
                <w:rFonts w:ascii="Courier New" w:hAnsi="Courier New"/>
                <w:color w:val="1A1A55"/>
                <w:sz w:val="18"/>
              </w:rPr>
              <w:t xml:space="preserve">        signatures.append(</w:t>
            </w:r>
          </w:p>
          <w:p>
            <w:pPr>
              <w:spacing w:before="0" w:after="0"/>
            </w:pPr>
            <w:r>
              <w:rPr>
                <w:rFonts w:ascii="Courier New" w:hAnsi="Courier New"/>
                <w:color w:val="1A1A55"/>
                <w:sz w:val="18"/>
              </w:rPr>
              <w:t xml:space="preserve">            GeneSignature(name=f'{tf}(+)', gene2weight=pesos)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xml:space="preserve">    rlog(f'- Firmas construidas desde GRN: {len(signatures)}')</w:t>
            </w:r>
          </w:p>
          <w:p>
            <w:pPr>
              <w:spacing w:before="0" w:after="0"/>
            </w:pPr>
            <w:r>
              <w:rPr>
                <w:rFonts w:ascii="Courier New" w:hAnsi="Courier New"/>
                <w:color w:val="1A1A55"/>
                <w:sz w:val="18"/>
              </w:rPr>
              <w:t xml:space="preserve">    rlog('- NOTA: Sin validación de motivos (solo orientativo)')</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FFF3E0"/>
            <w:tcBorders>
              <w:top w:val="single" w:sz="8" w:space="0" w:color="E65100"/>
              <w:left w:val="single" w:sz="8" w:space="0" w:color="E65100"/>
              <w:bottom w:val="single" w:sz="8" w:space="0" w:color="E65100"/>
              <w:right w:val="single" w:sz="8" w:space="0" w:color="E65100"/>
            </w:tcBorders>
            <w:tcMar>
              <w:top w:w="100" w:type="dxa"/>
              <w:left w:w="100" w:type="dxa"/>
              <w:bottom w:w="100" w:type="dxa"/>
              <w:right w:w="100" w:type="dxa"/>
            </w:tcMar>
          </w:tcPr>
          <w:p>
            <w:pPr>
              <w:spacing w:before="60" w:after="60"/>
            </w:pPr>
            <w:r>
              <w:rPr>
                <w:b/>
                <w:color w:val="1A1A44"/>
                <w:sz w:val="20"/>
              </w:rPr>
              <w:t>⚠  ATENCIÓN:  Este fallback se activa SOLO con el dataset de prueba tiny. Con datos reales de scRNA-seq que contengan TFs canónicos como GATA1, MYC, RUNX1, TP53, FLI1, CEBPA, etc., cisTarget sí encuentra regulones con validación de motivos y el fallback nunca se activa. Los regulones del fallback son orientativos y no deben usarse para conclusiones biológicas.</w:t>
            </w:r>
          </w:p>
        </w:tc>
      </w:tr>
    </w:tbl>
    <w:p>
      <w:pPr>
        <w:spacing w:after="120"/>
      </w:pPr>
    </w:p>
    <w:p>
      <w:pPr>
        <w:pStyle w:val="Heading2"/>
        <w:spacing w:before="240" w:after="120"/>
        <w:jc w:val="left"/>
      </w:pPr>
      <w:r>
        <w:rPr>
          <w:b/>
          <w:color w:val="2E5F9A"/>
          <w:sz w:val="28"/>
        </w:rPr>
        <w:t>5.5  Cambio 5 — URLs de datos de prueba rotas</w:t>
      </w:r>
    </w:p>
    <w:p>
      <w:pPr>
        <w:spacing w:after="140" w:before="0"/>
      </w:pPr>
      <w:r>
        <w:rPr>
          <w:sz w:val="21"/>
        </w:rPr>
        <w:t>El script 02 descarga automáticamente los datos de demostración la primera vez que se ejecuta. Estos datos vivían en un servidor del laboratorio Aerts que fue reestructurado.</w:t>
      </w:r>
    </w:p>
    <w:p>
      <w:pPr>
        <w:spacing w:after="20" w:before="160"/>
      </w:pPr>
      <w:r>
        <w:rPr>
          <w:b/>
          <w:color w:val="334477"/>
          <w:sz w:val="18"/>
        </w:rPr>
        <w:t xml:space="preserve">  ▶  Estado de las URLs del tutorial</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Archivos necesarios para correr el pipeline de demostración:</w:t>
            </w:r>
          </w:p>
          <w:p>
            <w:pPr>
              <w:spacing w:before="0" w:after="0"/>
            </w:pPr>
            <w:r>
              <w:rPr>
                <w:rFonts w:ascii="Courier New" w:hAnsi="Courier New"/>
                <w:color w:val="1A1A55"/>
                <w:sz w:val="18"/>
              </w:rPr>
              <w:t>#</w:t>
            </w:r>
          </w:p>
          <w:p>
            <w:pPr>
              <w:spacing w:before="0" w:after="0"/>
            </w:pPr>
            <w:r>
              <w:rPr>
                <w:rFonts w:ascii="Courier New" w:hAnsi="Courier New"/>
                <w:color w:val="1A1A55"/>
                <w:sz w:val="18"/>
              </w:rPr>
              <w:t># ┌─────────────────────────────────────────┬──────────┬──────────┐</w:t>
            </w:r>
          </w:p>
          <w:p>
            <w:pPr>
              <w:spacing w:before="0" w:after="0"/>
            </w:pPr>
            <w:r>
              <w:rPr>
                <w:rFonts w:ascii="Courier New" w:hAnsi="Courier New"/>
                <w:color w:val="1A1A55"/>
                <w:sz w:val="18"/>
              </w:rPr>
              <w:t># │ Archivo                                  │ Tamaño   │ Estado   │</w:t>
            </w:r>
          </w:p>
          <w:p>
            <w:pPr>
              <w:spacing w:before="0" w:after="0"/>
            </w:pPr>
            <w:r>
              <w:rPr>
                <w:rFonts w:ascii="Courier New" w:hAnsi="Courier New"/>
                <w:color w:val="1A1A55"/>
                <w:sz w:val="18"/>
              </w:rPr>
              <w:t># ├─────────────────────────────────────────┼──────────┼──────────┤</w:t>
            </w:r>
          </w:p>
          <w:p>
            <w:pPr>
              <w:spacing w:before="0" w:after="0"/>
            </w:pPr>
            <w:r>
              <w:rPr>
                <w:rFonts w:ascii="Courier New" w:hAnsi="Courier New"/>
                <w:color w:val="1A1A55"/>
                <w:sz w:val="18"/>
              </w:rPr>
              <w:t># │ expr_mat_tiny.loom                       │ ~2 MB    │ ❌ 404   │</w:t>
            </w:r>
          </w:p>
          <w:p>
            <w:pPr>
              <w:spacing w:before="0" w:after="0"/>
            </w:pPr>
            <w:r>
              <w:rPr>
                <w:rFonts w:ascii="Courier New" w:hAnsi="Courier New"/>
                <w:color w:val="1A1A55"/>
                <w:sz w:val="18"/>
              </w:rPr>
              <w:t># │ test_TFs_tiny.txt                        │ &lt;1 KB    │ ❌ 404   │</w:t>
            </w:r>
          </w:p>
          <w:p>
            <w:pPr>
              <w:spacing w:before="0" w:after="0"/>
            </w:pPr>
            <w:r>
              <w:rPr>
                <w:rFonts w:ascii="Courier New" w:hAnsi="Courier New"/>
                <w:color w:val="1A1A55"/>
                <w:sz w:val="18"/>
              </w:rPr>
              <w:t># │ motifs-v10nr_clust-nr.hgnc-...tbl        │ 98 MB    │ ✓ OK    │</w:t>
            </w:r>
          </w:p>
          <w:p>
            <w:pPr>
              <w:spacing w:before="0" w:after="0"/>
            </w:pPr>
            <w:r>
              <w:rPr>
                <w:rFonts w:ascii="Courier New" w:hAnsi="Courier New"/>
                <w:color w:val="1A1A55"/>
                <w:sz w:val="18"/>
              </w:rPr>
              <w:t># │ hg38_...rankings.feather                 │ 311 MB   │ ✓ OK    │</w:t>
            </w:r>
          </w:p>
          <w:p>
            <w:pPr>
              <w:spacing w:before="0" w:after="0"/>
            </w:pPr>
            <w:r>
              <w:rPr>
                <w:rFonts w:ascii="Courier New" w:hAnsi="Courier New"/>
                <w:color w:val="1A1A55"/>
                <w:sz w:val="18"/>
              </w:rPr>
              <w:t># └─────────────────────────────────────────┴──────────┴──────────┘</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HTTP 404 significa: el servidor respondió 'Not Found' — el archivo no existe</w:t>
            </w:r>
          </w:p>
          <w:p>
            <w:pPr>
              <w:spacing w:before="0" w:after="0"/>
            </w:pPr>
            <w:r>
              <w:rPr>
                <w:rFonts w:ascii="Courier New" w:hAnsi="Courier New"/>
                <w:color w:val="1A1A55"/>
                <w:sz w:val="18"/>
              </w:rPr>
              <w:t># en esa dirección. La carpeta /tmp/pyscenic_tutorial/ fue eliminada.</w:t>
            </w:r>
          </w:p>
        </w:tc>
      </w:tr>
    </w:tbl>
    <w:p>
      <w:pPr>
        <w:spacing w:after="120"/>
      </w:pP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8B0000"/>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19"/>
              </w:rPr>
              <w:t>✗  URLs originales (retornan HTTP 404)</w:t>
            </w:r>
          </w:p>
        </w:tc>
        <w:tc>
          <w:tcPr>
            <w:tcW w:type="dxa" w:w="4561"/>
            <w:shd w:val="clear" w:color="auto" w:fill="1A5C2A"/>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19"/>
              </w:rPr>
              <w:t>✓  URLs actualizadas (GitHub oficial — OK)</w:t>
            </w:r>
          </w:p>
        </w:tc>
      </w:tr>
      <w:tr>
        <w:tc>
          <w:tcPr>
            <w:tcW w:type="dxa" w:w="4561"/>
            <w:shd w:val="clear" w:color="auto" w:fill="FEF0EE"/>
            <w:tcBorders>
              <w:top w:val="single" w:sz="4" w:space="0" w:color="8B0000"/>
              <w:left w:val="single" w:sz="4" w:space="0" w:color="8B0000"/>
              <w:bottom w:val="single" w:sz="4" w:space="0" w:color="8B0000"/>
              <w:right w:val="single" w:sz="4" w:space="0" w:color="8B0000"/>
            </w:tcBorders>
          </w:tcPr>
          <w:p>
            <w:pPr>
              <w:spacing w:before="20" w:after="20"/>
            </w:pPr>
            <w:r>
              <w:rPr>
                <w:rFonts w:ascii="Courier New" w:hAnsi="Courier New"/>
                <w:color w:val="550000"/>
                <w:sz w:val="17"/>
              </w:rPr>
              <w:t># Ya no funcionan:</w:t>
            </w:r>
          </w:p>
          <w:p>
            <w:pPr>
              <w:spacing w:before="20" w:after="20"/>
            </w:pPr>
            <w:r>
              <w:rPr>
                <w:rFonts w:ascii="Courier New" w:hAnsi="Courier New"/>
                <w:color w:val="550000"/>
                <w:sz w:val="17"/>
              </w:rPr>
              <w:t>URLS = {</w:t>
            </w:r>
          </w:p>
          <w:p>
            <w:pPr>
              <w:spacing w:before="20" w:after="20"/>
            </w:pPr>
            <w:r>
              <w:rPr>
                <w:rFonts w:ascii="Courier New" w:hAnsi="Courier New"/>
                <w:color w:val="550000"/>
                <w:sz w:val="17"/>
              </w:rPr>
              <w:t xml:space="preserve">  'expr_mat_tiny.loom': (</w:t>
            </w:r>
          </w:p>
          <w:p>
            <w:pPr>
              <w:spacing w:before="20" w:after="20"/>
            </w:pPr>
            <w:r>
              <w:rPr>
                <w:rFonts w:ascii="Courier New" w:hAnsi="Courier New"/>
                <w:color w:val="550000"/>
                <w:sz w:val="17"/>
              </w:rPr>
              <w:t xml:space="preserve">    'https://resources.aertslab.org/'</w:t>
            </w:r>
          </w:p>
          <w:p>
            <w:pPr>
              <w:spacing w:before="20" w:after="20"/>
            </w:pPr>
            <w:r>
              <w:rPr>
                <w:rFonts w:ascii="Courier New" w:hAnsi="Courier New"/>
                <w:color w:val="550000"/>
                <w:sz w:val="17"/>
              </w:rPr>
              <w:t xml:space="preserve">    'cistarget/tmp/pyscenic_tutorial/'</w:t>
            </w:r>
          </w:p>
          <w:p>
            <w:pPr>
              <w:spacing w:before="20" w:after="20"/>
            </w:pPr>
            <w:r>
              <w:rPr>
                <w:rFonts w:ascii="Courier New" w:hAnsi="Courier New"/>
                <w:color w:val="550000"/>
                <w:sz w:val="17"/>
              </w:rPr>
              <w:t xml:space="preserve">    'expr_mat_tiny.loom'</w:t>
            </w:r>
          </w:p>
          <w:p>
            <w:pPr>
              <w:spacing w:before="20" w:after="20"/>
            </w:pPr>
            <w:r>
              <w:rPr>
                <w:rFonts w:ascii="Courier New" w:hAnsi="Courier New"/>
                <w:color w:val="550000"/>
                <w:sz w:val="17"/>
              </w:rPr>
              <w:t xml:space="preserve">  ),</w:t>
            </w:r>
          </w:p>
          <w:p>
            <w:pPr>
              <w:spacing w:before="20" w:after="20"/>
            </w:pPr>
            <w:r>
              <w:rPr>
                <w:rFonts w:ascii="Courier New" w:hAnsi="Courier New"/>
                <w:color w:val="550000"/>
                <w:sz w:val="17"/>
              </w:rPr>
              <w:t xml:space="preserve">  'test_TFs_tiny.txt': (</w:t>
            </w:r>
          </w:p>
          <w:p>
            <w:pPr>
              <w:spacing w:before="20" w:after="20"/>
            </w:pPr>
            <w:r>
              <w:rPr>
                <w:rFonts w:ascii="Courier New" w:hAnsi="Courier New"/>
                <w:color w:val="550000"/>
                <w:sz w:val="17"/>
              </w:rPr>
              <w:t xml:space="preserve">    'https://resources.aertslab.org/'</w:t>
            </w:r>
          </w:p>
          <w:p>
            <w:pPr>
              <w:spacing w:before="20" w:after="20"/>
            </w:pPr>
            <w:r>
              <w:rPr>
                <w:rFonts w:ascii="Courier New" w:hAnsi="Courier New"/>
                <w:color w:val="550000"/>
                <w:sz w:val="17"/>
              </w:rPr>
              <w:t xml:space="preserve">    'cistarget/tmp/pyscenic_tutorial/'</w:t>
            </w:r>
          </w:p>
          <w:p>
            <w:pPr>
              <w:spacing w:before="20" w:after="20"/>
            </w:pPr>
            <w:r>
              <w:rPr>
                <w:rFonts w:ascii="Courier New" w:hAnsi="Courier New"/>
                <w:color w:val="550000"/>
                <w:sz w:val="17"/>
              </w:rPr>
              <w:t xml:space="preserve">    'test_TFs_tiny.txt'</w:t>
            </w:r>
          </w:p>
          <w:p>
            <w:pPr>
              <w:spacing w:before="20" w:after="20"/>
            </w:pPr>
            <w:r>
              <w:rPr>
                <w:rFonts w:ascii="Courier New" w:hAnsi="Courier New"/>
                <w:color w:val="550000"/>
                <w:sz w:val="17"/>
              </w:rPr>
              <w:t xml:space="preserve">  ),</w:t>
            </w:r>
          </w:p>
          <w:p>
            <w:pPr>
              <w:spacing w:before="20" w:after="20"/>
            </w:pPr>
            <w:r>
              <w:rPr>
                <w:rFonts w:ascii="Courier New" w:hAnsi="Courier New"/>
                <w:color w:val="550000"/>
                <w:sz w:val="17"/>
              </w:rPr>
              <w:t>}</w:t>
            </w:r>
          </w:p>
        </w:tc>
        <w:tc>
          <w:tcPr>
            <w:tcW w:type="dxa" w:w="4561"/>
            <w:shd w:val="clear" w:color="auto" w:fill="EDFAEF"/>
            <w:tcBorders>
              <w:top w:val="single" w:sz="4" w:space="0" w:color="1A5C2A"/>
              <w:left w:val="single" w:sz="4" w:space="0" w:color="1A5C2A"/>
              <w:bottom w:val="single" w:sz="4" w:space="0" w:color="1A5C2A"/>
              <w:right w:val="single" w:sz="4" w:space="0" w:color="1A5C2A"/>
            </w:tcBorders>
          </w:tcPr>
          <w:p>
            <w:pPr>
              <w:spacing w:before="20" w:after="20"/>
            </w:pPr>
            <w:r>
              <w:rPr>
                <w:rFonts w:ascii="Courier New" w:hAnsi="Courier New"/>
                <w:color w:val="004400"/>
                <w:sz w:val="17"/>
              </w:rPr>
              <w:t># Mismos archivos en GitHub:</w:t>
            </w:r>
          </w:p>
          <w:p>
            <w:pPr>
              <w:spacing w:before="20" w:after="20"/>
            </w:pPr>
            <w:r>
              <w:rPr>
                <w:rFonts w:ascii="Courier New" w:hAnsi="Courier New"/>
                <w:color w:val="004400"/>
                <w:sz w:val="17"/>
              </w:rPr>
              <w:t>URLS = {</w:t>
            </w:r>
          </w:p>
          <w:p>
            <w:pPr>
              <w:spacing w:before="20" w:after="20"/>
            </w:pPr>
            <w:r>
              <w:rPr>
                <w:rFonts w:ascii="Courier New" w:hAnsi="Courier New"/>
                <w:color w:val="004400"/>
                <w:sz w:val="17"/>
              </w:rPr>
              <w:t xml:space="preserve">  'expr_mat_tiny.loom': (</w:t>
            </w:r>
          </w:p>
          <w:p>
            <w:pPr>
              <w:spacing w:before="20" w:after="20"/>
            </w:pPr>
            <w:r>
              <w:rPr>
                <w:rFonts w:ascii="Courier New" w:hAnsi="Courier New"/>
                <w:color w:val="004400"/>
                <w:sz w:val="17"/>
              </w:rPr>
              <w:t xml:space="preserve">    'https://raw.githubusercontent.com/'</w:t>
            </w:r>
          </w:p>
          <w:p>
            <w:pPr>
              <w:spacing w:before="20" w:after="20"/>
            </w:pPr>
            <w:r>
              <w:rPr>
                <w:rFonts w:ascii="Courier New" w:hAnsi="Courier New"/>
                <w:color w:val="004400"/>
                <w:sz w:val="17"/>
              </w:rPr>
              <w:t xml:space="preserve">    'aertslab/SCENICprotocol/'</w:t>
            </w:r>
          </w:p>
          <w:p>
            <w:pPr>
              <w:spacing w:before="20" w:after="20"/>
            </w:pPr>
            <w:r>
              <w:rPr>
                <w:rFonts w:ascii="Courier New" w:hAnsi="Courier New"/>
                <w:color w:val="004400"/>
                <w:sz w:val="17"/>
              </w:rPr>
              <w:t xml:space="preserve">    'master/example/'</w:t>
            </w:r>
          </w:p>
          <w:p>
            <w:pPr>
              <w:spacing w:before="20" w:after="20"/>
            </w:pPr>
            <w:r>
              <w:rPr>
                <w:rFonts w:ascii="Courier New" w:hAnsi="Courier New"/>
                <w:color w:val="004400"/>
                <w:sz w:val="17"/>
              </w:rPr>
              <w:t xml:space="preserve">    'expr_mat_tiny.loom'</w:t>
            </w:r>
          </w:p>
          <w:p>
            <w:pPr>
              <w:spacing w:before="20" w:after="20"/>
            </w:pPr>
            <w:r>
              <w:rPr>
                <w:rFonts w:ascii="Courier New" w:hAnsi="Courier New"/>
                <w:color w:val="004400"/>
                <w:sz w:val="17"/>
              </w:rPr>
              <w:t xml:space="preserve">  ),</w:t>
            </w:r>
          </w:p>
          <w:p>
            <w:pPr>
              <w:spacing w:before="20" w:after="20"/>
            </w:pPr>
            <w:r>
              <w:rPr>
                <w:rFonts w:ascii="Courier New" w:hAnsi="Courier New"/>
                <w:color w:val="004400"/>
                <w:sz w:val="17"/>
              </w:rPr>
              <w:t xml:space="preserve">  'test_TFs_tiny.txt': (</w:t>
            </w:r>
          </w:p>
          <w:p>
            <w:pPr>
              <w:spacing w:before="20" w:after="20"/>
            </w:pPr>
            <w:r>
              <w:rPr>
                <w:rFonts w:ascii="Courier New" w:hAnsi="Courier New"/>
                <w:color w:val="004400"/>
                <w:sz w:val="17"/>
              </w:rPr>
              <w:t xml:space="preserve">    'https://raw.githubusercontent.com/'</w:t>
            </w:r>
          </w:p>
          <w:p>
            <w:pPr>
              <w:spacing w:before="20" w:after="20"/>
            </w:pPr>
            <w:r>
              <w:rPr>
                <w:rFonts w:ascii="Courier New" w:hAnsi="Courier New"/>
                <w:color w:val="004400"/>
                <w:sz w:val="17"/>
              </w:rPr>
              <w:t xml:space="preserve">    'aertslab/SCENICprotocol/'</w:t>
            </w:r>
          </w:p>
          <w:p>
            <w:pPr>
              <w:spacing w:before="20" w:after="20"/>
            </w:pPr>
            <w:r>
              <w:rPr>
                <w:rFonts w:ascii="Courier New" w:hAnsi="Courier New"/>
                <w:color w:val="004400"/>
                <w:sz w:val="17"/>
              </w:rPr>
              <w:t xml:space="preserve">    'master/example/'</w:t>
            </w:r>
          </w:p>
          <w:p>
            <w:pPr>
              <w:spacing w:before="20" w:after="20"/>
            </w:pPr>
            <w:r>
              <w:rPr>
                <w:rFonts w:ascii="Courier New" w:hAnsi="Courier New"/>
                <w:color w:val="004400"/>
                <w:sz w:val="17"/>
              </w:rPr>
              <w:t xml:space="preserve">    'test_TFs_tiny.txt'</w:t>
            </w:r>
          </w:p>
          <w:p>
            <w:pPr>
              <w:spacing w:before="20" w:after="20"/>
            </w:pPr>
            <w:r>
              <w:rPr>
                <w:rFonts w:ascii="Courier New" w:hAnsi="Courier New"/>
                <w:color w:val="004400"/>
                <w:sz w:val="17"/>
              </w:rPr>
              <w:t xml:space="preserve">  ),</w:t>
            </w:r>
          </w:p>
          <w:p>
            <w:pPr>
              <w:spacing w:before="20" w:after="20"/>
            </w:pPr>
            <w:r>
              <w:rPr>
                <w:rFonts w:ascii="Courier New" w:hAnsi="Courier New"/>
                <w:color w:val="004400"/>
                <w:sz w:val="17"/>
              </w:rPr>
              <w:t>}</w:t>
            </w:r>
          </w:p>
        </w:tc>
      </w:tr>
    </w:tbl>
    <w:p>
      <w:pPr>
        <w:spacing w:after="16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Son exactamente los mismos archivos con el mismo contenido. Solo cambia la ubicación del servidor donde están alojados.</w:t>
            </w:r>
          </w:p>
        </w:tc>
      </w:tr>
    </w:tbl>
    <w:p>
      <w:pPr>
        <w:spacing w:after="120"/>
      </w:pPr>
    </w:p>
    <w:p>
      <w:pPr>
        <w:pStyle w:val="Heading2"/>
        <w:spacing w:before="240" w:after="120"/>
        <w:jc w:val="left"/>
      </w:pPr>
      <w:r>
        <w:rPr>
          <w:b/>
          <w:color w:val="2E5F9A"/>
          <w:sz w:val="28"/>
        </w:rPr>
        <w:t>5.6  Cambio 6 — Formato de salida: loom → h5ad + CSV</w:t>
      </w:r>
    </w:p>
    <w:p>
      <w:pPr>
        <w:spacing w:after="140" w:before="0"/>
      </w:pPr>
      <w:r>
        <w:rPr>
          <w:sz w:val="21"/>
        </w:rPr>
        <w:t>El tutorial SCENIC original produce un único archivo loom como salida final, que contiene todos los resultados integrados. El script produce varios archivos en formatos más modernos.</w:t>
      </w:r>
    </w:p>
    <w:p>
      <w:pPr>
        <w:spacing w:after="20" w:before="160"/>
      </w:pPr>
      <w:r>
        <w:rPr>
          <w:b/>
          <w:color w:val="334477"/>
          <w:sz w:val="18"/>
        </w:rPr>
        <w:t xml:space="preserve">  ▶  Comparación de formatos de salida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Salida del tutorial original:</w:t>
            </w:r>
          </w:p>
          <w:p>
            <w:pPr>
              <w:spacing w:before="0" w:after="0"/>
            </w:pPr>
            <w:r>
              <w:rPr>
                <w:rFonts w:ascii="Courier New" w:hAnsi="Courier New"/>
                <w:color w:val="1A1A55"/>
                <w:sz w:val="18"/>
              </w:rPr>
              <w:t>scenic_output.loom</w:t>
            </w:r>
          </w:p>
          <w:p>
            <w:pPr>
              <w:spacing w:before="0" w:after="0"/>
            </w:pPr>
            <w:r>
              <w:rPr>
                <w:rFonts w:ascii="Courier New" w:hAnsi="Courier New"/>
                <w:color w:val="1A1A55"/>
                <w:sz w:val="18"/>
              </w:rPr>
              <w:t># Contiene todo en un solo archivo:</w:t>
            </w:r>
          </w:p>
          <w:p>
            <w:pPr>
              <w:spacing w:before="0" w:after="0"/>
            </w:pPr>
            <w:r>
              <w:rPr>
                <w:rFonts w:ascii="Courier New" w:hAnsi="Courier New"/>
                <w:color w:val="1A1A55"/>
                <w:sz w:val="18"/>
              </w:rPr>
              <w:t>#   - Matriz de expresión original</w:t>
            </w:r>
          </w:p>
          <w:p>
            <w:pPr>
              <w:spacing w:before="0" w:after="0"/>
            </w:pPr>
            <w:r>
              <w:rPr>
                <w:rFonts w:ascii="Courier New" w:hAnsi="Courier New"/>
                <w:color w:val="1A1A55"/>
                <w:sz w:val="18"/>
              </w:rPr>
              <w:t>#   - Regulones identificados</w:t>
            </w:r>
          </w:p>
          <w:p>
            <w:pPr>
              <w:spacing w:before="0" w:after="0"/>
            </w:pPr>
            <w:r>
              <w:rPr>
                <w:rFonts w:ascii="Courier New" w:hAnsi="Courier New"/>
                <w:color w:val="1A1A55"/>
                <w:sz w:val="18"/>
              </w:rPr>
              <w:t>#   - Matriz AUCell (células × regulones)</w:t>
            </w:r>
          </w:p>
          <w:p>
            <w:pPr>
              <w:spacing w:before="0" w:after="0"/>
            </w:pPr>
            <w:r>
              <w:rPr>
                <w:rFonts w:ascii="Courier New" w:hAnsi="Courier New"/>
                <w:color w:val="1A1A55"/>
                <w:sz w:val="18"/>
              </w:rPr>
              <w:t>#   - Embeddings UMAP</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Salida del script adaptado:</w:t>
            </w:r>
          </w:p>
          <w:p>
            <w:pPr>
              <w:spacing w:before="0" w:after="0"/>
            </w:pPr>
            <w:r>
              <w:rPr>
                <w:rFonts w:ascii="Courier New" w:hAnsi="Courier New"/>
                <w:color w:val="1A1A55"/>
                <w:sz w:val="18"/>
              </w:rPr>
              <w:t>runs/scenic_2026-06-12_14-30-05/</w:t>
            </w:r>
          </w:p>
          <w:p>
            <w:pPr>
              <w:spacing w:before="0" w:after="0"/>
            </w:pPr>
            <w:r>
              <w:rPr>
                <w:rFonts w:ascii="Courier New" w:hAnsi="Courier New"/>
                <w:color w:val="1A1A55"/>
                <w:sz w:val="18"/>
              </w:rPr>
              <w:t>├── scenic_adata.h5ad     # AnnData: AUCell + UMAP + clusters Leiden</w:t>
            </w:r>
          </w:p>
          <w:p>
            <w:pPr>
              <w:spacing w:before="0" w:after="0"/>
            </w:pPr>
            <w:r>
              <w:rPr>
                <w:rFonts w:ascii="Courier New" w:hAnsi="Courier New"/>
                <w:color w:val="1A1A55"/>
                <w:sz w:val="18"/>
              </w:rPr>
              <w:t>├── auc_matrix.csv        # Tabla plana: células × regulones (para R, Excel)</w:t>
            </w:r>
          </w:p>
          <w:p>
            <w:pPr>
              <w:spacing w:before="0" w:after="0"/>
            </w:pPr>
            <w:r>
              <w:rPr>
                <w:rFonts w:ascii="Courier New" w:hAnsi="Courier New"/>
                <w:color w:val="1A1A55"/>
                <w:sz w:val="18"/>
              </w:rPr>
              <w:t>├── regulons.csv          # Salida de cisTarget (regulones validados)</w:t>
            </w:r>
          </w:p>
          <w:p>
            <w:pPr>
              <w:spacing w:before="0" w:after="0"/>
            </w:pPr>
            <w:r>
              <w:rPr>
                <w:rFonts w:ascii="Courier New" w:hAnsi="Courier New"/>
                <w:color w:val="1A1A55"/>
                <w:sz w:val="18"/>
              </w:rPr>
              <w:t>├── adjacencies.tsv       # Red TF-gen del GRNBoost2</w:t>
            </w:r>
          </w:p>
          <w:p>
            <w:pPr>
              <w:spacing w:before="0" w:after="0"/>
            </w:pPr>
            <w:r>
              <w:rPr>
                <w:rFonts w:ascii="Courier New" w:hAnsi="Courier New"/>
                <w:color w:val="1A1A55"/>
                <w:sz w:val="18"/>
              </w:rPr>
              <w:t>├── figures/              # Figuras UMAP en PNG</w:t>
            </w:r>
          </w:p>
          <w:p>
            <w:pPr>
              <w:spacing w:before="0" w:after="0"/>
            </w:pPr>
            <w:r>
              <w:rPr>
                <w:rFonts w:ascii="Courier New" w:hAnsi="Courier New"/>
                <w:color w:val="1A1A55"/>
                <w:sz w:val="18"/>
              </w:rPr>
              <w:t>│   ├── umap_clusters.png</w:t>
            </w:r>
          </w:p>
          <w:p>
            <w:pPr>
              <w:spacing w:before="0" w:after="0"/>
            </w:pPr>
            <w:r>
              <w:rPr>
                <w:rFonts w:ascii="Courier New" w:hAnsi="Courier New"/>
                <w:color w:val="1A1A55"/>
                <w:sz w:val="18"/>
              </w:rPr>
              <w:t>│   └── umap_top_regulons.png</w:t>
            </w:r>
          </w:p>
          <w:p>
            <w:pPr>
              <w:spacing w:before="0" w:after="0"/>
            </w:pPr>
            <w:r>
              <w:rPr>
                <w:rFonts w:ascii="Courier New" w:hAnsi="Courier New"/>
                <w:color w:val="1A1A55"/>
                <w:sz w:val="18"/>
              </w:rPr>
              <w:t>└── reporte_tecnico.md    # Reporte automático del pipeline</w:t>
            </w:r>
          </w:p>
        </w:tc>
      </w:tr>
    </w:tbl>
    <w:p>
      <w:pPr>
        <w:spacing w:after="120"/>
      </w:pPr>
    </w:p>
    <w:p>
      <w:pPr>
        <w:spacing w:after="140" w:before="0"/>
      </w:pPr>
      <w:r>
        <w:rPr>
          <w:sz w:val="21"/>
        </w:rPr>
        <w:t>Hay dos razones para este cambio:</w:t>
      </w:r>
    </w:p>
    <w:p>
      <w:pPr>
        <w:pStyle w:val="ListBullet"/>
        <w:spacing w:after="60"/>
      </w:pPr>
      <w:r>
        <w:rPr>
          <w:b/>
          <w:sz w:val="21"/>
        </w:rPr>
        <w:t xml:space="preserve">1. El ecosistema está migrando de loom a h5ad: </w:t>
      </w:r>
      <w:r>
        <w:rPr>
          <w:sz w:val="21"/>
        </w:rPr>
      </w:r>
    </w:p>
    <w:p>
      <w:pPr>
        <w:spacing w:after="140" w:before="0"/>
        <w:ind w:left="567"/>
      </w:pPr>
      <w:r>
        <w:rPr>
          <w:sz w:val="21"/>
        </w:rPr>
        <w:t>loompy (la librería Python para leer/escribir loom) tuvo su última actualización significativa en 2020. El formato h5ad es el nativo de AnnData, que es el objeto de datos central de scanpy y de todo el ecosistema scverse. Los desarrolladores de scanpy, scvi-tools, cellxgene y Seurat recomiendan h5ad como formato de intercambio estándar.</w:t>
      </w:r>
    </w:p>
    <w:p>
      <w:pPr>
        <w:pStyle w:val="ListBullet"/>
        <w:spacing w:after="60"/>
      </w:pPr>
      <w:r>
        <w:rPr>
          <w:b/>
          <w:sz w:val="21"/>
        </w:rPr>
        <w:t xml:space="preserve">2. Compatibilidad con análisis posteriores: </w:t>
      </w:r>
      <w:r>
        <w:rPr>
          <w:sz w:val="21"/>
        </w:rPr>
      </w:r>
    </w:p>
    <w:p>
      <w:pPr>
        <w:spacing w:after="140" w:before="0"/>
        <w:ind w:left="567"/>
      </w:pPr>
      <w:r>
        <w:rPr>
          <w:sz w:val="21"/>
        </w:rPr>
        <w:t>El archivo h5ad se abre directamente en scanpy sin conversión. El auc_matrix.csv puede importarse en R con read.csv() para análisis adicionales en Seurat. El loom requeriría instalar loompy en R (paquete loomR) y hacer una conversión explícita.</w:t>
      </w:r>
    </w:p>
    <w:p>
      <w:pPr>
        <w:spacing w:after="20" w:before="160"/>
      </w:pPr>
      <w:r>
        <w:rPr>
          <w:b/>
          <w:color w:val="334477"/>
          <w:sz w:val="18"/>
        </w:rPr>
        <w:t xml:space="preserve">  ▶  Cómo usar los archivos de salida</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En Python — abrir el h5ad para análisis posteriores:</w:t>
            </w:r>
          </w:p>
          <w:p>
            <w:pPr>
              <w:spacing w:before="0" w:after="0"/>
            </w:pPr>
            <w:r>
              <w:rPr>
                <w:rFonts w:ascii="Courier New" w:hAnsi="Courier New"/>
                <w:color w:val="1A1A55"/>
                <w:sz w:val="18"/>
              </w:rPr>
              <w:t>import anndata as ad</w:t>
            </w:r>
          </w:p>
          <w:p>
            <w:pPr>
              <w:spacing w:before="0" w:after="0"/>
            </w:pPr>
            <w:r>
              <w:rPr>
                <w:rFonts w:ascii="Courier New" w:hAnsi="Courier New"/>
                <w:color w:val="1A1A55"/>
                <w:sz w:val="18"/>
              </w:rPr>
              <w:t>adata_scenic = ad.read_h5ad('scenic_adata.h5ad')</w:t>
            </w:r>
          </w:p>
          <w:p>
            <w:pPr>
              <w:spacing w:before="0" w:after="0"/>
            </w:pPr>
            <w:r>
              <w:rPr>
                <w:rFonts w:ascii="Courier New" w:hAnsi="Courier New"/>
                <w:color w:val="1A1A55"/>
                <w:sz w:val="18"/>
              </w:rPr>
              <w:t>print(adata_scenic)  # Ver contenido: células × regulones + UMAP + clusters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En R — importar la matriz AUCell para análisis en Seurat:</w:t>
            </w:r>
          </w:p>
          <w:p>
            <w:pPr>
              <w:spacing w:before="0" w:after="0"/>
            </w:pPr>
            <w:r>
              <w:rPr>
                <w:rFonts w:ascii="Courier New" w:hAnsi="Courier New"/>
                <w:color w:val="1A1A55"/>
                <w:sz w:val="18"/>
              </w:rPr>
              <w:t>auc_matrix &lt;- read.csv('auc_matrix.csv', row.names=1)</w:t>
            </w:r>
          </w:p>
          <w:p>
            <w:pPr>
              <w:spacing w:before="0" w:after="0"/>
            </w:pPr>
            <w:r>
              <w:rPr>
                <w:rFonts w:ascii="Courier New" w:hAnsi="Courier New"/>
                <w:color w:val="1A1A55"/>
                <w:sz w:val="18"/>
              </w:rPr>
              <w:t># auc_matrix es una tabla normal: células en filas, regulones en columnas</w:t>
            </w:r>
          </w:p>
          <w:p>
            <w:pPr>
              <w:spacing w:before="0" w:after="0"/>
            </w:pPr>
            <w:r>
              <w:rPr>
                <w:rFonts w:ascii="Courier New" w:hAnsi="Courier New"/>
                <w:color w:val="1A1A55"/>
                <w:sz w:val="18"/>
              </w:rPr>
              <w:t># Se puede añadir directamente como assay en un objeto Seurat</w:t>
            </w:r>
          </w:p>
        </w:tc>
      </w:tr>
    </w:tbl>
    <w:p>
      <w:pPr>
        <w:spacing w:after="120"/>
      </w:pPr>
    </w:p>
    <w:tbl>
      <w:tblPr>
        <w:tblStyle w:val="TableGrid"/>
        <w:tblW w:type="auto" w:w="0"/>
        <w:tblLook w:firstColumn="1" w:firstRow="1" w:lastColumn="0" w:lastRow="0" w:noHBand="0" w:noVBand="1" w:val="04A0"/>
      </w:tblPr>
      <w:tblGrid>
        <w:gridCol w:w="9122"/>
      </w:tblGrid>
      <w:tr>
        <w:tc>
          <w:tcPr>
            <w:tcW w:type="dxa" w:w="9122"/>
            <w:shd w:val="clear" w:color="auto" w:fill="E6F4EA"/>
            <w:tcBorders>
              <w:top w:val="single" w:sz="8" w:space="0" w:color="1A7A3C"/>
              <w:left w:val="single" w:sz="8" w:space="0" w:color="1A7A3C"/>
              <w:bottom w:val="single" w:sz="8" w:space="0" w:color="1A7A3C"/>
              <w:right w:val="single" w:sz="8" w:space="0" w:color="1A7A3C"/>
            </w:tcBorders>
            <w:tcMar>
              <w:top w:w="100" w:type="dxa"/>
              <w:left w:w="100" w:type="dxa"/>
              <w:bottom w:w="100" w:type="dxa"/>
              <w:right w:w="100" w:type="dxa"/>
            </w:tcMar>
          </w:tcPr>
          <w:p>
            <w:pPr>
              <w:spacing w:before="60" w:after="60"/>
            </w:pPr>
            <w:r>
              <w:rPr>
                <w:b w:val="0"/>
                <w:color w:val="1A1A44"/>
                <w:sz w:val="20"/>
              </w:rPr>
              <w:t>✓  Impacto:  Impacto en el resultado biológico: NINGUNO. Los datos son científicamente equivalentes. La diferencia es solo el formato del archivo contenedor.</w:t>
            </w:r>
          </w:p>
        </w:tc>
      </w:tr>
    </w:tbl>
    <w:p>
      <w:pPr>
        <w:spacing w:after="120"/>
      </w:pPr>
    </w:p>
    <w:p>
      <w:r>
        <w:br w:type="page"/>
      </w:r>
    </w:p>
    <w:p>
      <w:pPr>
        <w:pStyle w:val="Heading1"/>
        <w:spacing w:before="360" w:after="120"/>
        <w:jc w:val="left"/>
      </w:pPr>
      <w:r>
        <w:rPr>
          <w:b/>
          <w:color w:val="1F3864"/>
          <w:sz w:val="36"/>
        </w:rPr>
        <w:t>6.  Estado del entorno de ejecución</w:t>
      </w:r>
    </w:p>
    <w:p>
      <w:pPr>
        <w:pBdr>
          <w:bottom w:val="single" w:sz="6" w:space="1" w:color="AAAAAA"/>
        </w:pBdr>
        <w:spacing w:after="160"/>
      </w:pPr>
    </w:p>
    <w:p>
      <w:pPr>
        <w:spacing w:after="140" w:before="0"/>
      </w:pPr>
      <w:r>
        <w:rPr>
          <w:sz w:val="21"/>
        </w:rPr>
        <w:t>Los scripts se ejecutan en WSL (Windows Subsystem for Linux): una capa de compatibilidad de Windows que permite correr un sistema Linux dentro de Windows sin virtualización completa. El entorno Python del proyecto vive dentro de WSL — no en el Python de Windows.</w:t>
      </w:r>
    </w:p>
    <w:p>
      <w:pPr>
        <w:spacing w:after="140" w:before="0"/>
      </w:pPr>
      <w:r>
        <w:rPr>
          <w:sz w:val="21"/>
        </w:rPr>
        <w:t>El Python de Windows (Python 3.12, en C:\Users\ID634\AppData\...) es un entorno diferente e independiente. pySCENIC está instalado solo en el Python de WSL (Python 3.10, en /home/erickjester/.local/).</w:t>
      </w:r>
    </w:p>
    <w:tbl>
      <w:tblPr>
        <w:tblStyle w:val="TableGrid"/>
        <w:tblW w:type="auto" w:w="0"/>
        <w:tblLook w:firstColumn="1" w:firstRow="1" w:lastColumn="0" w:lastRow="0" w:noHBand="0" w:noVBand="1" w:val="04A0"/>
      </w:tblPr>
      <w:tblGrid>
        <w:gridCol w:w="9122"/>
      </w:tblGrid>
      <w:tr>
        <w:tc>
          <w:tcPr>
            <w:tcW w:type="dxa" w:w="9122"/>
            <w:shd w:val="clear" w:color="auto" w:fill="FFF3E0"/>
            <w:tcBorders>
              <w:top w:val="single" w:sz="8" w:space="0" w:color="E65100"/>
              <w:left w:val="single" w:sz="8" w:space="0" w:color="E65100"/>
              <w:bottom w:val="single" w:sz="8" w:space="0" w:color="E65100"/>
              <w:right w:val="single" w:sz="8" w:space="0" w:color="E65100"/>
            </w:tcBorders>
            <w:tcMar>
              <w:top w:w="100" w:type="dxa"/>
              <w:left w:w="100" w:type="dxa"/>
              <w:bottom w:w="100" w:type="dxa"/>
              <w:right w:w="100" w:type="dxa"/>
            </w:tcMar>
          </w:tcPr>
          <w:p>
            <w:pPr>
              <w:spacing w:before="60" w:after="60"/>
            </w:pPr>
            <w:r>
              <w:rPr>
                <w:b/>
                <w:color w:val="1A1A44"/>
                <w:sz w:val="20"/>
              </w:rPr>
              <w:t>⚠  ATENCIÓN:  Para ejecutar los scripts correctamente, hay que abrir una terminal de WSL (no PowerShell, no Git Bash) y ejecutar los scripts desde ahí. pySCENIC CLI se instaló en ~/.local/bin/, que solo está en el PATH de WSL interactivo.</w:t>
            </w:r>
          </w:p>
        </w:tc>
      </w:tr>
    </w:tbl>
    <w:p>
      <w:pPr>
        <w:spacing w:after="120"/>
      </w:pPr>
    </w:p>
    <w:p>
      <w:pPr>
        <w:spacing w:after="20" w:before="160"/>
      </w:pPr>
      <w:r>
        <w:rPr>
          <w:b/>
          <w:color w:val="334477"/>
          <w:sz w:val="18"/>
        </w:rPr>
        <w:t xml:space="preserve">  ▶  Comandos de ejecución</w:t>
      </w:r>
    </w:p>
    <w:tbl>
      <w:tblPr>
        <w:tblStyle w:val="TableGrid"/>
        <w:tblW w:type="auto" w:w="0"/>
        <w:tblLook w:firstColumn="1" w:firstRow="1" w:lastColumn="0" w:lastRow="0" w:noHBand="0" w:noVBand="1" w:val="04A0"/>
      </w:tblPr>
      <w:tblGrid>
        <w:gridCol w:w="9122"/>
      </w:tblGrid>
      <w:tr>
        <w:tc>
          <w:tcPr>
            <w:tcW w:type="dxa" w:w="9122"/>
            <w:shd w:val="clear" w:color="auto" w:fill="F0F0F8"/>
            <w:tcBorders>
              <w:top w:val="single" w:sz="6" w:space="0" w:color="9999CC"/>
              <w:left w:val="single" w:sz="6" w:space="0" w:color="9999CC"/>
              <w:bottom w:val="single" w:sz="6" w:space="0" w:color="9999CC"/>
              <w:right w:val="single" w:sz="6" w:space="0" w:color="9999CC"/>
            </w:tcBorders>
            <w:tcMar>
              <w:top w:w="120" w:type="dxa"/>
              <w:left w:w="120" w:type="dxa"/>
              <w:bottom w:w="120" w:type="dxa"/>
              <w:right w:w="120" w:type="dxa"/>
            </w:tcMar>
          </w:tcPr>
          <w:p>
            <w:pPr>
              <w:spacing w:before="0" w:after="0"/>
            </w:pPr>
            <w:r>
              <w:rPr>
                <w:rFonts w:ascii="Courier New" w:hAnsi="Courier New"/>
                <w:color w:val="1A1A55"/>
                <w:sz w:val="18"/>
              </w:rPr>
              <w:t># Pasos para ejecutar los scripts: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1. Abrir WSL (buscar 'Ubuntu' o 'WSL' en el menú de inicio de Windows)</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2. Navegar a la carpeta del proyecto:</w:t>
            </w:r>
          </w:p>
          <w:p>
            <w:pPr>
              <w:spacing w:before="0" w:after="0"/>
            </w:pPr>
            <w:r>
              <w:rPr>
                <w:rFonts w:ascii="Courier New" w:hAnsi="Courier New"/>
                <w:color w:val="1A1A55"/>
                <w:sz w:val="18"/>
              </w:rPr>
              <w:t>cd /mnt/c/Users/ID634/Desktop/proyectos/scanpy-scenic</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3. Ejecutar Script 01 (clustering Scanpy):</w:t>
            </w:r>
          </w:p>
          <w:p>
            <w:pPr>
              <w:spacing w:before="0" w:after="0"/>
            </w:pPr>
            <w:r>
              <w:rPr>
                <w:rFonts w:ascii="Courier New" w:hAnsi="Courier New"/>
                <w:color w:val="1A1A55"/>
                <w:sz w:val="18"/>
              </w:rPr>
              <w:t>python3 01_scanpy_clustering.py</w:t>
            </w:r>
          </w:p>
          <w:p>
            <w:pPr>
              <w:spacing w:before="0" w:after="0"/>
            </w:pPr>
            <w:r>
              <w:rPr>
                <w:rFonts w:ascii="Courier New" w:hAnsi="Courier New"/>
                <w:color w:val="1A1A55"/>
                <w:sz w:val="18"/>
              </w:rPr>
              <w:t># Tiempo estimado: 10-30 minutos</w:t>
            </w:r>
          </w:p>
          <w:p>
            <w:pPr>
              <w:spacing w:before="0" w:after="0"/>
            </w:pPr>
            <w:r>
              <w:rPr>
                <w:rFonts w:ascii="Courier New" w:hAnsi="Courier New"/>
                <w:color w:val="1A1A55"/>
                <w:sz w:val="18"/>
              </w:rPr>
              <w:t># Primera ejecución: descarga ~200 MB de datos de médula ósea</w:t>
            </w:r>
          </w:p>
          <w:p>
            <w:pPr>
              <w:spacing w:before="0" w:after="0"/>
            </w:pPr>
            <w:r>
              <w:rPr>
                <w:rFonts w:ascii="Courier New" w:hAnsi="Courier New"/>
                <w:color w:val="1A1A55"/>
                <w:sz w:val="18"/>
              </w:rPr>
              <w:t xml:space="preserve"> </w:t>
            </w:r>
          </w:p>
          <w:p>
            <w:pPr>
              <w:spacing w:before="0" w:after="0"/>
            </w:pPr>
            <w:r>
              <w:rPr>
                <w:rFonts w:ascii="Courier New" w:hAnsi="Courier New"/>
                <w:color w:val="1A1A55"/>
                <w:sz w:val="18"/>
              </w:rPr>
              <w:t># 4. Ejecutar Script 02 (SCENIC):</w:t>
            </w:r>
          </w:p>
          <w:p>
            <w:pPr>
              <w:spacing w:before="0" w:after="0"/>
            </w:pPr>
            <w:r>
              <w:rPr>
                <w:rFonts w:ascii="Courier New" w:hAnsi="Courier New"/>
                <w:color w:val="1A1A55"/>
                <w:sz w:val="18"/>
              </w:rPr>
              <w:t>python3 02_scenic_pipeline.py</w:t>
            </w:r>
          </w:p>
          <w:p>
            <w:pPr>
              <w:spacing w:before="0" w:after="0"/>
            </w:pPr>
            <w:r>
              <w:rPr>
                <w:rFonts w:ascii="Courier New" w:hAnsi="Courier New"/>
                <w:color w:val="1A1A55"/>
                <w:sz w:val="18"/>
              </w:rPr>
              <w:t># Tiempo estimado: 30-90 minutos (depende del número de genes/TFs)</w:t>
            </w:r>
          </w:p>
          <w:p>
            <w:pPr>
              <w:spacing w:before="0" w:after="0"/>
            </w:pPr>
            <w:r>
              <w:rPr>
                <w:rFonts w:ascii="Courier New" w:hAnsi="Courier New"/>
                <w:color w:val="1A1A55"/>
                <w:sz w:val="18"/>
              </w:rPr>
              <w:t># Primera ejecución: descarga ~413 MB de datos de referencia</w:t>
            </w:r>
          </w:p>
          <w:p>
            <w:pPr>
              <w:spacing w:before="0" w:after="0"/>
            </w:pPr>
            <w:r>
              <w:rPr>
                <w:rFonts w:ascii="Courier New" w:hAnsi="Courier New"/>
                <w:color w:val="1A1A55"/>
                <w:sz w:val="18"/>
              </w:rPr>
              <w:t>#   - expr_mat_tiny.loom (~2 MB) — datos de expresión de prueba</w:t>
            </w:r>
          </w:p>
          <w:p>
            <w:pPr>
              <w:spacing w:before="0" w:after="0"/>
            </w:pPr>
            <w:r>
              <w:rPr>
                <w:rFonts w:ascii="Courier New" w:hAnsi="Courier New"/>
                <w:color w:val="1A1A55"/>
                <w:sz w:val="18"/>
              </w:rPr>
              <w:t>#   - test_TFs_tiny.txt (&lt;1 KB) — lista de TFs de prueba</w:t>
            </w:r>
          </w:p>
          <w:p>
            <w:pPr>
              <w:spacing w:before="0" w:after="0"/>
            </w:pPr>
            <w:r>
              <w:rPr>
                <w:rFonts w:ascii="Courier New" w:hAnsi="Courier New"/>
                <w:color w:val="1A1A55"/>
                <w:sz w:val="18"/>
              </w:rPr>
              <w:t>#   - motifs.tbl (98 MB) — tabla de motivos TF-DNA</w:t>
            </w:r>
          </w:p>
          <w:p>
            <w:pPr>
              <w:spacing w:before="0" w:after="0"/>
            </w:pPr>
            <w:r>
              <w:rPr>
                <w:rFonts w:ascii="Courier New" w:hAnsi="Courier New"/>
                <w:color w:val="1A1A55"/>
                <w:sz w:val="18"/>
              </w:rPr>
              <w:t>#   - rankings.feather (311 MB) — base de datos genómica hg38</w:t>
            </w:r>
          </w:p>
        </w:tc>
      </w:tr>
    </w:tbl>
    <w:p>
      <w:pPr>
        <w:spacing w:after="120"/>
      </w:pPr>
    </w:p>
    <w:p>
      <w:pPr>
        <w:spacing w:after="140" w:before="0"/>
      </w:pPr>
      <w:r>
        <w:rPr>
          <w:sz w:val="21"/>
        </w:rPr>
        <w:t>Versiones verificadas en el entorno WSL: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Paquete</w:t>
            </w:r>
          </w:p>
        </w:tc>
        <w:tc>
          <w:tcPr>
            <w:tcW w:type="dxa" w:w="2280"/>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Versión</w:t>
            </w:r>
          </w:p>
        </w:tc>
        <w:tc>
          <w:tcPr>
            <w:tcW w:type="dxa" w:w="2280"/>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Usado en</w:t>
            </w:r>
          </w:p>
        </w:tc>
        <w:tc>
          <w:tcPr>
            <w:tcW w:type="dxa" w:w="2280"/>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Estado</w:t>
            </w:r>
          </w:p>
        </w:tc>
      </w:tr>
      <w:tr>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Python</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3.10.x (WSL)</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ambos scripts</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scanpy</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1.11.5</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01 y 02</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pyscenic</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0.12.1</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02</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loompy</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3.0.8</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02 (entrada)</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ctxcore</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instalado</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02 (AUCell)</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scikit-learn</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1.8.0</w:t>
            </w:r>
          </w:p>
        </w:tc>
        <w:tc>
          <w:tcPr>
            <w:tcW w:type="dxa" w:w="2280"/>
            <w:shd w:val="clear" w:color="auto" w:fill="F5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02 (GRN)</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w:t>
            </w:r>
          </w:p>
        </w:tc>
      </w:tr>
      <w:tr>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i w:val="0"/>
                <w:sz w:val="20"/>
              </w:rPr>
              <w:t>pyscenic CLI</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0.12.1</w:t>
            </w:r>
          </w:p>
        </w:tc>
        <w:tc>
          <w:tcPr>
            <w:tcW w:type="dxa" w:w="2280"/>
            <w:shd w:val="clear" w:color="auto" w:fill="EBF0FA"/>
            <w:tcBorders>
              <w:top w:val="single" w:sz="4" w:space="0" w:color="BBBBBB"/>
              <w:left w:val="single" w:sz="4" w:space="0" w:color="BBBBBB"/>
              <w:bottom w:val="single" w:sz="4" w:space="0" w:color="BBBBBB"/>
              <w:right w:val="single" w:sz="4" w:space="0" w:color="BBBBBB"/>
            </w:tcBorders>
          </w:tcPr>
          <w:p>
            <w:pPr>
              <w:spacing w:before="60" w:after="60"/>
            </w:pPr>
            <w:r>
              <w:rPr>
                <w:b w:val="0"/>
                <w:i w:val="0"/>
                <w:sz w:val="20"/>
              </w:rPr>
              <w:t>Script 02 (ctx)</w:t>
            </w:r>
          </w:p>
        </w:tc>
        <w:tc>
          <w:tcPr>
            <w:tcW w:type="dxa" w:w="2280"/>
            <w:shd w:val="clear" w:color="auto" w:fill="E6F4EA"/>
            <w:tcBorders>
              <w:top w:val="single" w:sz="4" w:space="0" w:color="BBBBBB"/>
              <w:left w:val="single" w:sz="4" w:space="0" w:color="BBBBBB"/>
              <w:bottom w:val="single" w:sz="4" w:space="0" w:color="BBBBBB"/>
              <w:right w:val="single" w:sz="4" w:space="0" w:color="BBBBBB"/>
            </w:tcBorders>
          </w:tcPr>
          <w:p>
            <w:pPr>
              <w:spacing w:before="60" w:after="60"/>
            </w:pPr>
            <w:r>
              <w:rPr>
                <w:b w:val="0"/>
                <w:i w:val="0"/>
                <w:color w:val="1A7A3C"/>
                <w:sz w:val="20"/>
              </w:rPr>
              <w:t>✓  OK — solo en WSL interactivo</w:t>
            </w:r>
          </w:p>
        </w:tc>
      </w:tr>
    </w:tbl>
    <w:p>
      <w:pPr>
        <w:spacing w:after="200"/>
      </w:pPr>
    </w:p>
    <w:p>
      <w:r>
        <w:br w:type="page"/>
      </w:r>
    </w:p>
    <w:p>
      <w:pPr>
        <w:pStyle w:val="Heading1"/>
        <w:spacing w:before="360" w:after="120"/>
        <w:jc w:val="left"/>
      </w:pPr>
      <w:r>
        <w:rPr>
          <w:b/>
          <w:color w:val="1F3864"/>
          <w:sz w:val="36"/>
        </w:rPr>
        <w:t>7.  Tabla resumen de todos los cambios</w:t>
      </w:r>
    </w:p>
    <w:p>
      <w:pPr>
        <w:pBdr>
          <w:bottom w:val="single" w:sz="6" w:space="1" w:color="AAAAAA"/>
        </w:pBdr>
        <w:spacing w:after="160"/>
      </w:pPr>
    </w:p>
    <w:p>
      <w:pPr>
        <w:spacing w:after="140" w:before="0"/>
      </w:pPr>
      <w:r>
        <w:rPr>
          <w:sz w:val="21"/>
        </w:rPr>
        <w:t>La siguiente tabla resume los diez cambios documentados, con una clasificación del tipo de cambio y el impacto biológico de cada uno.</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w:t>
            </w:r>
          </w:p>
        </w:tc>
        <w:tc>
          <w:tcPr>
            <w:tcW w:type="dxa" w:w="1824"/>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Script</w:t>
            </w:r>
          </w:p>
        </w:tc>
        <w:tc>
          <w:tcPr>
            <w:tcW w:type="dxa" w:w="1824"/>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Cambio</w:t>
            </w:r>
          </w:p>
        </w:tc>
        <w:tc>
          <w:tcPr>
            <w:tcW w:type="dxa" w:w="1824"/>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Tipo</w:t>
            </w:r>
          </w:p>
        </w:tc>
        <w:tc>
          <w:tcPr>
            <w:tcW w:type="dxa" w:w="1824"/>
            <w:shd w:val="clear" w:color="auto" w:fill="1F3864"/>
            <w:tcBorders>
              <w:top w:val="single" w:sz="4" w:space="0" w:color="BBBBBB"/>
              <w:left w:val="single" w:sz="4" w:space="0" w:color="BBBBBB"/>
              <w:bottom w:val="single" w:sz="4" w:space="0" w:color="BBBBBB"/>
              <w:right w:val="single" w:sz="4" w:space="0" w:color="BBBBBB"/>
            </w:tcBorders>
          </w:tcPr>
          <w:p>
            <w:pPr>
              <w:spacing w:before="60" w:after="60"/>
              <w:jc w:val="center"/>
            </w:pPr>
            <w:r>
              <w:rPr>
                <w:b/>
                <w:i w:val="0"/>
                <w:color w:val="FFFFFF"/>
                <w:sz w:val="20"/>
              </w:rPr>
              <w:t>Impacto biológico</w:t>
            </w:r>
          </w:p>
        </w:tc>
      </w:tr>
      <w:tr>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1</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01</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QC con genes ribosomales y hemoglobina</w:t>
            </w:r>
          </w:p>
        </w:tc>
        <w:tc>
          <w:tcPr>
            <w:tcW w:type="dxa" w:w="1824"/>
            <w:shd w:val="clear" w:color="auto" w:fill="E0F0E0"/>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Extensión</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solo métricas adicionales</w:t>
            </w:r>
          </w:p>
        </w:tc>
      </w:tr>
      <w:tr>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2</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01</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Scrublet integrado en scanpy (batch_key)</w:t>
            </w:r>
          </w:p>
        </w:tc>
        <w:tc>
          <w:tcPr>
            <w:tcW w:type="dxa" w:w="1824"/>
            <w:shd w:val="clear" w:color="auto" w:fill="E0EE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Modernización</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misma detección, mejor multi-muestra</w:t>
            </w:r>
          </w:p>
        </w:tc>
      </w:tr>
      <w:tr>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3</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01</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Leiden con flavor='igraph'</w:t>
            </w:r>
          </w:p>
        </w:tc>
        <w:tc>
          <w:tcPr>
            <w:tcW w:type="dxa" w:w="1824"/>
            <w:shd w:val="clear" w:color="auto" w:fill="EEE0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Compatibilidad</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Mínimo — algoritmo equivalente</w:t>
            </w:r>
          </w:p>
        </w:tc>
      </w:tr>
      <w:tr>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4</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01</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Script .py en vez de notebook Jupyter</w:t>
            </w:r>
          </w:p>
        </w:tc>
        <w:tc>
          <w:tcPr>
            <w:tcW w:type="dxa" w:w="1824"/>
            <w:shd w:val="clear" w:color="auto" w:fill="F5F5F5"/>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Infraestructura</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mismos análisis</w:t>
            </w:r>
          </w:p>
        </w:tc>
      </w:tr>
      <w:tr>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5</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GRNBoost2: arboreto/dask → sklearn</w:t>
            </w:r>
          </w:p>
        </w:tc>
        <w:tc>
          <w:tcPr>
            <w:tcW w:type="dxa" w:w="1824"/>
            <w:shd w:val="clear" w:color="auto" w:fill="FFDDDD"/>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CRÍTICO</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Rankings similares, no numéricamente idénticos</w:t>
            </w:r>
          </w:p>
        </w:tc>
      </w:tr>
      <w:tr>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6</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AUCell: pyscenic aucell CLI → API Python</w:t>
            </w:r>
          </w:p>
        </w:tc>
        <w:tc>
          <w:tcPr>
            <w:tcW w:type="dxa" w:w="1824"/>
            <w:shd w:val="clear" w:color="auto" w:fill="FFF0CC"/>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IMPORTANTE</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misma función interna</w:t>
            </w:r>
          </w:p>
        </w:tc>
      </w:tr>
      <w:tr>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7</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cisTarget: sin cambios</w:t>
            </w:r>
          </w:p>
        </w:tc>
        <w:tc>
          <w:tcPr>
            <w:tcW w:type="dxa" w:w="1824"/>
            <w:shd w:val="clear" w:color="auto" w:fill="F0F0F0"/>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Sin cambio</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w:t>
            </w:r>
          </w:p>
        </w:tc>
      </w:tr>
      <w:tr>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8</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Fallback cuando cisTarget = 0 regulones</w:t>
            </w:r>
          </w:p>
        </w:tc>
        <w:tc>
          <w:tcPr>
            <w:tcW w:type="dxa" w:w="1824"/>
            <w:shd w:val="clear" w:color="auto" w:fill="FFEEDD"/>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Robustez</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Solo aplica con dataset de prueba tiny</w:t>
            </w:r>
          </w:p>
        </w:tc>
      </w:tr>
      <w:tr>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9</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URLs: aertslab.org → GitHub</w:t>
            </w:r>
          </w:p>
        </w:tc>
        <w:tc>
          <w:tcPr>
            <w:tcW w:type="dxa" w:w="1824"/>
            <w:shd w:val="clear" w:color="auto" w:fill="E0F8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Corrección</w:t>
            </w:r>
          </w:p>
        </w:tc>
        <w:tc>
          <w:tcPr>
            <w:tcW w:type="dxa" w:w="1824"/>
            <w:shd w:val="clear" w:color="auto" w:fill="F9F9F9"/>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mismos archivos</w:t>
            </w:r>
          </w:p>
        </w:tc>
      </w:tr>
      <w:tr>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i w:val="0"/>
                <w:sz w:val="19"/>
              </w:rPr>
              <w:t>10</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02</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Salida: loom → h5ad + CSV</w:t>
            </w:r>
          </w:p>
        </w:tc>
        <w:tc>
          <w:tcPr>
            <w:tcW w:type="dxa" w:w="1824"/>
            <w:shd w:val="clear" w:color="auto" w:fill="E0EE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Modernización</w:t>
            </w:r>
          </w:p>
        </w:tc>
        <w:tc>
          <w:tcPr>
            <w:tcW w:type="dxa" w:w="1824"/>
            <w:shd w:val="clear" w:color="auto" w:fill="FFFFFF"/>
            <w:tcBorders>
              <w:top w:val="single" w:sz="4" w:space="0" w:color="BBBBBB"/>
              <w:left w:val="single" w:sz="4" w:space="0" w:color="BBBBBB"/>
              <w:bottom w:val="single" w:sz="4" w:space="0" w:color="BBBBBB"/>
              <w:right w:val="single" w:sz="4" w:space="0" w:color="BBBBBB"/>
            </w:tcBorders>
          </w:tcPr>
          <w:p>
            <w:pPr>
              <w:spacing w:before="60" w:after="60"/>
            </w:pPr>
            <w:r>
              <w:rPr>
                <w:b w:val="0"/>
                <w:i w:val="0"/>
                <w:sz w:val="19"/>
              </w:rPr>
              <w:t>Ninguno — datos equivalentes</w:t>
            </w:r>
          </w:p>
        </w:tc>
      </w:tr>
    </w:tbl>
    <w:p>
      <w:pPr>
        <w:spacing w:after="160"/>
      </w:pPr>
    </w:p>
    <w:p>
      <w:pPr>
        <w:spacing w:after="140" w:before="0"/>
      </w:pPr>
      <w:r>
        <w:rPr>
          <w:sz w:val="21"/>
        </w:rPr>
        <w:t>Los cambios en rojo (#5 GRNBoost2) y amarillo (#6 AUCell) son los únicos donde la herramienta original fue sustituida por una alternativa. Todos los demás cambios son modernizaciones, correcciones de infraestructura, o adaptaciones a limitaciones del dataset de prueba.</w:t>
      </w:r>
    </w:p>
    <w:p>
      <w:pPr>
        <w:spacing w:after="140" w:before="0"/>
      </w:pPr>
      <w:r>
        <w:rPr>
          <w:sz w:val="21"/>
        </w:rPr>
        <w:t>Para datos reales de scRNA-seq con TFs canónicos, el pipeline produce resultados biológicamente equivalentes a los del protocolo original. La adaptación de GRNBoost2 es la única que introduce una diferencia técnica (secuencial vs paralelo, sklearn vs arboreto), pero el impacto en los regulones finales es menor.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