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Case de Sucesso: Arquitetura de Infraestrutura de TI e Servidores de Alta Disponibilidade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Este documento apresenta um relatório técnico detalhado e consolida a infraestrutura de TI, topologia de servidores e ecossistema de hardware. O objetivo deste material é servir como um sumário executivo para a gestão e como um portfólio de excelência técnica (case prático) para apresentação a clientes que buscam soluções robustas de alta disponibilidade, virtualização, armazenamento seguro e eficiência energética.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1a365d"/>
        </w:rPr>
      </w:pPr>
      <w:r w:rsidDel="00000000" w:rsidR="00000000" w:rsidRPr="00000000">
        <w:rPr>
          <w:color w:val="1a365d"/>
          <w:rtl w:val="0"/>
        </w:rPr>
        <w:t xml:space="preserve">1. Resumo Executivo e Métricas Globais do Sistema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infraestrutura foi projetada sob o conceito de computação distribuída e segmentação de funções em três níveis (Principal, Secundário e Terciário). Isso garante redundância física, isolamento de falhas e otimização do consumo de energia. O monitoramento centralizado aponta os seguintes indicadores de performance global:</w:t>
      </w:r>
    </w:p>
    <w:tbl>
      <w:tblPr>
        <w:tblStyle w:val="Table1"/>
        <w:tblW w:w="9360.0" w:type="dxa"/>
        <w:jc w:val="left"/>
        <w:tblBorders>
          <w:top w:color="e2e8f0" w:space="0" w:sz="6" w:val="single"/>
          <w:left w:color="e2e8f0" w:space="0" w:sz="6" w:val="single"/>
          <w:bottom w:color="e2e8f0" w:space="0" w:sz="6" w:val="single"/>
          <w:right w:color="e2e8f0" w:space="0" w:sz="6" w:val="single"/>
          <w:insideH w:color="e2e8f0" w:space="0" w:sz="6" w:val="single"/>
          <w:insideV w:color="e2e8f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1a365d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a365d"/>
                <w:shd w:fill="auto" w:val="clear"/>
                <w:rtl w:val="0"/>
              </w:rPr>
              <w:t xml:space="preserve">Métrica Global</w:t>
            </w:r>
          </w:p>
        </w:tc>
        <w:tc>
          <w:tcPr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1a365d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a365d"/>
                <w:shd w:fill="auto" w:val="clear"/>
                <w:rtl w:val="0"/>
              </w:rPr>
              <w:t xml:space="preserve">Status / Valor Atual</w:t>
            </w:r>
          </w:p>
        </w:tc>
        <w:tc>
          <w:tcPr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1a365d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a365d"/>
                <w:shd w:fill="auto" w:val="clear"/>
                <w:rtl w:val="0"/>
              </w:rPr>
              <w:t xml:space="preserve">Impacto Operacional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Servidores Ativos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 / 3 Online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100% de disponibilidade da rede interna.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Capacidade de Processamento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4.0% de Uso Médio (20 Cores / 36 Threads)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Alta margem para escalabilidade de microsserviços.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Memória RAM Dinâmica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14.0 GB em Uso de 78 GB Alocados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Suporte a múltiplos containers e virtualização estável.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Pool de Armazenamento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17.6 TB Total (14.1 TB Livre / 18 Discos OK)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Redundância de dados e isolamento de backups.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Consumo Energético Total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~188 W (Soma CPU + GPU em Idle/Low load)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Excelente eficiência e baixo custo operacional (Green IT).</w:t>
            </w:r>
          </w:p>
        </w:tc>
      </w:tr>
    </w:tbl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00" w:lineRule="auto"/>
        <w:rPr>
          <w:color w:val="1a365d"/>
        </w:rPr>
      </w:pPr>
      <w:r w:rsidDel="00000000" w:rsidR="00000000" w:rsidRPr="00000000">
        <w:rPr>
          <w:color w:val="1a365d"/>
          <w:rtl w:val="0"/>
        </w:rPr>
        <w:t xml:space="preserve">2. Detalhamento da Topologia de Servidores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2b6cb0"/>
        </w:rPr>
      </w:pPr>
      <w:r w:rsidDel="00000000" w:rsidR="00000000" w:rsidRPr="00000000">
        <w:rPr>
          <w:color w:val="2b6cb0"/>
          <w:rtl w:val="0"/>
        </w:rPr>
        <w:t xml:space="preserve">Nível 1: Servidor Principal (Processamento Crítico e Alta Performance)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Focado em tarefas de alta demanda computacional, compilação de sistemas complexos e processamento gráfico. Conta com uma arquitetura termicamente otimizada com customização de curvas de fans e watercooling de alto desempenho, mantendo o CPU em média a 35°C e a GPU a 37°C.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color w:val="000000"/>
          <w:rtl w:val="0"/>
        </w:rPr>
        <w:t xml:space="preserve">Processador:</w:t>
      </w:r>
      <w:r w:rsidDel="00000000" w:rsidR="00000000" w:rsidRPr="00000000">
        <w:rPr>
          <w:color w:val="000000"/>
          <w:rtl w:val="0"/>
        </w:rPr>
        <w:t xml:space="preserve"> Intel Core i7-11700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color w:val="000000"/>
          <w:rtl w:val="0"/>
        </w:rPr>
        <w:t xml:space="preserve">Placa de Vídeo:</w:t>
      </w:r>
      <w:r w:rsidDel="00000000" w:rsidR="00000000" w:rsidRPr="00000000">
        <w:rPr>
          <w:color w:val="000000"/>
          <w:rtl w:val="0"/>
        </w:rPr>
        <w:t xml:space="preserve"> NVIDIA RTX 3080 Galax 10GB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color w:val="000000"/>
          <w:rtl w:val="0"/>
        </w:rPr>
        <w:t xml:space="preserve">Placa-Mãe:</w:t>
      </w:r>
      <w:r w:rsidDel="00000000" w:rsidR="00000000" w:rsidRPr="00000000">
        <w:rPr>
          <w:color w:val="000000"/>
          <w:rtl w:val="0"/>
        </w:rPr>
        <w:t xml:space="preserve"> Colorful CVN Z590M V20 Pro Gaming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color w:val="000000"/>
          <w:rtl w:val="0"/>
        </w:rPr>
        <w:t xml:space="preserve">Memória RAM:</w:t>
      </w:r>
      <w:r w:rsidDel="00000000" w:rsidR="00000000" w:rsidRPr="00000000">
        <w:rPr>
          <w:color w:val="000000"/>
          <w:rtl w:val="0"/>
        </w:rPr>
        <w:t xml:space="preserve"> 48GB DDR4 (Ajuste misto de alta densidade: 2x16GB + 2x8GB Kingston &amp; T-Group @ 2667MHz CL15)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color w:val="000000"/>
          <w:rtl w:val="0"/>
        </w:rPr>
        <w:t xml:space="preserve">Armazenamento Interno:</w:t>
      </w:r>
      <w:r w:rsidDel="00000000" w:rsidR="00000000" w:rsidRPr="00000000">
        <w:rPr>
          <w:color w:val="000000"/>
          <w:rtl w:val="0"/>
        </w:rPr>
        <w:t xml:space="preserve"> 1x SSD NVMe WD Blue 512GB (Sistema e Cache) + 1x HD 4TB Seagate Barracuda + Varredura de SSDs SATA para redundância de dados (2x Kingston 480GB, 2x Patriot Burst 480GB, 1x Kingston 480GB, 1x Patriot P210 512GB)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color w:val="000000"/>
          <w:rtl w:val="0"/>
        </w:rPr>
        <w:t xml:space="preserve">Gabinete &amp; Refrigeração:</w:t>
      </w:r>
      <w:r w:rsidDel="00000000" w:rsidR="00000000" w:rsidRPr="00000000">
        <w:rPr>
          <w:color w:val="000000"/>
          <w:rtl w:val="0"/>
        </w:rPr>
        <w:t xml:space="preserve"> Clanm Grood Night com 5x Fans Rise Mode Crystal ARGB e Watercooler Husky WT600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color w:val="000000"/>
          <w:rtl w:val="0"/>
        </w:rPr>
        <w:t xml:space="preserve">Alimentação:</w:t>
      </w:r>
      <w:r w:rsidDel="00000000" w:rsidR="00000000" w:rsidRPr="00000000">
        <w:rPr>
          <w:color w:val="000000"/>
          <w:rtl w:val="0"/>
        </w:rPr>
        <w:t xml:space="preserve"> Corsair RM750 750W 80 Plus Gold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color w:val="000000"/>
          <w:rtl w:val="0"/>
        </w:rPr>
        <w:t xml:space="preserve">Aplicações Chave:</w:t>
      </w:r>
      <w:r w:rsidDel="00000000" w:rsidR="00000000" w:rsidRPr="00000000">
        <w:rPr>
          <w:color w:val="000000"/>
          <w:rtl w:val="0"/>
        </w:rPr>
        <w:t xml:space="preserve"> Deploy de ambientes de homologação, processamento gráfico massivo e acesso remoto ultra-low latency via Parsec Link.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b6cb0"/>
        </w:rPr>
      </w:pPr>
      <w:r w:rsidDel="00000000" w:rsidR="00000000" w:rsidRPr="00000000">
        <w:rPr>
          <w:color w:val="2b6cb0"/>
          <w:rtl w:val="0"/>
        </w:rPr>
        <w:t xml:space="preserve">Nível 2: Servidor Secundário (Bancada de Testes, Banco de Dados e Automação)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Responsável por hospedar bases de dados, rotinas de testes integrados e ferramentas de automação contínua. Apresenta excelente eficiência paralela com o processador Ryzen de 8 núcleos e 16 threads ativos.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color w:val="000000"/>
          <w:rtl w:val="0"/>
        </w:rPr>
        <w:t xml:space="preserve">Processador:</w:t>
      </w:r>
      <w:r w:rsidDel="00000000" w:rsidR="00000000" w:rsidRPr="00000000">
        <w:rPr>
          <w:color w:val="000000"/>
          <w:rtl w:val="0"/>
        </w:rPr>
        <w:t xml:space="preserve"> AMD Ryzen 7 3700X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color w:val="000000"/>
          <w:rtl w:val="0"/>
        </w:rPr>
        <w:t xml:space="preserve">Placa de Vídeo:</w:t>
      </w:r>
      <w:r w:rsidDel="00000000" w:rsidR="00000000" w:rsidRPr="00000000">
        <w:rPr>
          <w:color w:val="000000"/>
          <w:rtl w:val="0"/>
        </w:rPr>
        <w:t xml:space="preserve"> AMD Radeon RX 580 8GB MLLSE (Operando a estáveis 19°C em repouso)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color w:val="000000"/>
          <w:rtl w:val="0"/>
        </w:rPr>
        <w:t xml:space="preserve">Placa-Mãe:</w:t>
      </w:r>
      <w:r w:rsidDel="00000000" w:rsidR="00000000" w:rsidRPr="00000000">
        <w:rPr>
          <w:color w:val="000000"/>
          <w:rtl w:val="0"/>
        </w:rPr>
        <w:t xml:space="preserve"> ASUS TUF Gaming A520M-Plus II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color w:val="000000"/>
          <w:rtl w:val="0"/>
        </w:rPr>
        <w:t xml:space="preserve">Memória RAM:</w:t>
      </w:r>
      <w:r w:rsidDel="00000000" w:rsidR="00000000" w:rsidRPr="00000000">
        <w:rPr>
          <w:color w:val="000000"/>
          <w:rtl w:val="0"/>
        </w:rPr>
        <w:t xml:space="preserve"> 24GB DDR4 HyperX (1x8GB + 1x16GB @ 2133MHz)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color w:val="000000"/>
          <w:rtl w:val="0"/>
        </w:rPr>
        <w:t xml:space="preserve">Armazenamento Interno:</w:t>
      </w:r>
      <w:r w:rsidDel="00000000" w:rsidR="00000000" w:rsidRPr="00000000">
        <w:rPr>
          <w:color w:val="000000"/>
          <w:rtl w:val="0"/>
        </w:rPr>
        <w:t xml:space="preserve"> 1x SSD WD Green 240GB M.2 + 1x SSD Hikvision 240GB SATA + Pooling de Discos Rígidos para armazenamento massivo (1x HD Seagate 2TB + 1x HD Hitachi 4TB + 1x HD WD Purple 2TB dedicado a logs/gravações contínuas)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color w:val="000000"/>
          <w:rtl w:val="0"/>
        </w:rPr>
        <w:t xml:space="preserve">Gabinete &amp; Refrigeração:</w:t>
      </w:r>
      <w:r w:rsidDel="00000000" w:rsidR="00000000" w:rsidRPr="00000000">
        <w:rPr>
          <w:color w:val="000000"/>
          <w:rtl w:val="0"/>
        </w:rPr>
        <w:t xml:space="preserve"> Pichau Pouder 4W com 10x Fans Rise Mode Crystal ARGB e Water Cooler LC-120-ARG White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color w:val="000000"/>
          <w:rtl w:val="0"/>
        </w:rPr>
        <w:t xml:space="preserve">Alimentação:</w:t>
      </w:r>
      <w:r w:rsidDel="00000000" w:rsidR="00000000" w:rsidRPr="00000000">
        <w:rPr>
          <w:color w:val="000000"/>
          <w:rtl w:val="0"/>
        </w:rPr>
        <w:t xml:space="preserve"> Thermaltake 600W 80 Plus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b6cb0"/>
        </w:rPr>
      </w:pPr>
      <w:r w:rsidDel="00000000" w:rsidR="00000000" w:rsidRPr="00000000">
        <w:rPr>
          <w:color w:val="2b6cb0"/>
          <w:rtl w:val="0"/>
        </w:rPr>
        <w:t xml:space="preserve">Nível 3: Servidor Terciário (PC Backup e Serviços de Rede)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Nó dedicado a serviços leves de infraestrutura de rede, controlador de domínio,DNS interno e servidor de arquivos mortos. Destaca-se pelo consumo irrisório de energia do processador em idle (apenas 4W), ideal para funcionamento ininterrupto 24/7.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color w:val="000000"/>
          <w:rtl w:val="0"/>
        </w:rPr>
        <w:t xml:space="preserve">Processador:</w:t>
      </w:r>
      <w:r w:rsidDel="00000000" w:rsidR="00000000" w:rsidRPr="00000000">
        <w:rPr>
          <w:color w:val="000000"/>
          <w:rtl w:val="0"/>
        </w:rPr>
        <w:t xml:space="preserve"> Intel Core i5-2310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color w:val="000000"/>
          <w:rtl w:val="0"/>
        </w:rPr>
        <w:t xml:space="preserve">Placa-Mãe:</w:t>
      </w:r>
      <w:r w:rsidDel="00000000" w:rsidR="00000000" w:rsidRPr="00000000">
        <w:rPr>
          <w:color w:val="000000"/>
          <w:rtl w:val="0"/>
        </w:rPr>
        <w:t xml:space="preserve"> Gigabyte GA-H61M-S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color w:val="000000"/>
          <w:rtl w:val="0"/>
        </w:rPr>
        <w:t xml:space="preserve">Memória RAM:</w:t>
      </w:r>
      <w:r w:rsidDel="00000000" w:rsidR="00000000" w:rsidRPr="00000000">
        <w:rPr>
          <w:color w:val="000000"/>
          <w:rtl w:val="0"/>
        </w:rPr>
        <w:t xml:space="preserve"> 6GB DDR3 1333MHz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color w:val="000000"/>
          <w:rtl w:val="0"/>
        </w:rPr>
        <w:t xml:space="preserve">Armazenamento Interno: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 1x SSD Lexar 240GB (S.O.) + 1x HD 1TB Seagate + 2x HD 1TB WD Purple (Redundância e冷Armazenamento)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color w:val="000000"/>
          <w:rtl w:val="0"/>
        </w:rPr>
        <w:t xml:space="preserve">Conectividade Expandida:</w:t>
      </w:r>
      <w:r w:rsidDel="00000000" w:rsidR="00000000" w:rsidRPr="00000000">
        <w:rPr>
          <w:color w:val="000000"/>
          <w:rtl w:val="0"/>
        </w:rPr>
        <w:t xml:space="preserve"> Placa Adaptadora USB 3.0 PCI com 4 Portas para gerenciamento rápido de mídias externas.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color w:val="000000"/>
          <w:rtl w:val="0"/>
        </w:rPr>
        <w:t xml:space="preserve">Alimentação:</w:t>
      </w:r>
      <w:r w:rsidDel="00000000" w:rsidR="00000000" w:rsidRPr="00000000">
        <w:rPr>
          <w:color w:val="000000"/>
          <w:rtl w:val="0"/>
        </w:rPr>
        <w:t xml:space="preserve"> TGT Tomahawk 500W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>
          <w:color w:val="1a365d"/>
        </w:rPr>
      </w:pPr>
      <w:r w:rsidDel="00000000" w:rsidR="00000000" w:rsidRPr="00000000">
        <w:rPr>
          <w:color w:val="1a365d"/>
          <w:rtl w:val="0"/>
        </w:rPr>
        <w:t xml:space="preserve">3. Central de Comando, Monitoramento e Periféricos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gerência de toda a infraestrutura física e lógica é centralizada em uma estação de trabalho multi-monitor de alta fidelidade visual, permitindo a visualização simultânea do código-fonte, painéis de monitoramento de tráfego de rede e logs em tempo real.</w:t>
      </w:r>
    </w:p>
    <w:tbl>
      <w:tblPr>
        <w:tblStyle w:val="Table2"/>
        <w:tblW w:w="9360.0" w:type="dxa"/>
        <w:jc w:val="left"/>
        <w:tblBorders>
          <w:top w:color="e2e8f0" w:space="0" w:sz="6" w:val="single"/>
          <w:left w:color="e2e8f0" w:space="0" w:sz="6" w:val="single"/>
          <w:bottom w:color="e2e8f0" w:space="0" w:sz="6" w:val="single"/>
          <w:right w:color="e2e8f0" w:space="0" w:sz="6" w:val="single"/>
          <w:insideH w:color="e2e8f0" w:space="0" w:sz="6" w:val="single"/>
          <w:insideV w:color="e2e8f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1a365d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a365d"/>
                <w:shd w:fill="auto" w:val="clear"/>
                <w:rtl w:val="0"/>
              </w:rPr>
              <w:t xml:space="preserve">Equipamento / Periférico</w:t>
            </w:r>
          </w:p>
        </w:tc>
        <w:tc>
          <w:tcPr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1a365d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a365d"/>
                <w:shd w:fill="auto" w:val="clear"/>
                <w:rtl w:val="0"/>
              </w:rPr>
              <w:t xml:space="preserve">Especificação Técnica</w:t>
            </w:r>
          </w:p>
        </w:tc>
        <w:tc>
          <w:tcPr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1a365d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a365d"/>
                <w:shd w:fill="auto" w:val="clear"/>
                <w:rtl w:val="0"/>
              </w:rPr>
              <w:t xml:space="preserve">Função no Ecossistema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Monitor Ultrawide Principal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AOC Agon 34" Ultrawide (180Hz / 0.5ms)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Painel de controle principal, dashboards e multi-janelas de código.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Monitor Vertical Secundário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AOC Hero 27" (144Hz / 1ms)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Visualização vertical de logs, terminais Linux/Windows e documentação.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Monitores de Suporte / TV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AOC 18.5" (Backup) + TV AOC 43" (60Hz)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Espelhamento de status de servidores e monitoramento de câmeras de segurança.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Entrada e Áudio Profissional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Redragon Magic Wand PRO + Fifine AM8 + Fifine H9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Digitação mecânica ágil e captação de áudio isolado para reuniões de engenharia.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Acessórios de Armazenamento Móvel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 Station 2 HDs USB 3.0 + SD Card 128GB Backup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Hot-swap rápido de discos rígidos de clientes e auditoria externa de arquivos.</w:t>
            </w:r>
          </w:p>
        </w:tc>
      </w:tr>
    </w:tbl>
    <w:p w:rsidR="00000000" w:rsidDel="00000000" w:rsidP="00000000" w:rsidRDefault="00000000" w:rsidRPr="00000000" w14:paraId="0000004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>
          <w:color w:val="1a365d"/>
        </w:rPr>
      </w:pPr>
      <w:r w:rsidDel="00000000" w:rsidR="00000000" w:rsidRPr="00000000">
        <w:rPr>
          <w:color w:val="1a365d"/>
          <w:rtl w:val="0"/>
        </w:rPr>
        <w:t xml:space="preserve">4. Mobilidade, Conectividade e Dispositivos de Borda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arquitetura garante continuidade dos negócios fora do escritório central, utilizando um ecossistema móvel integrado de alta eficiência para desenvolvimento remotos rápidos, validações de segurança e comunicação direta: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color w:val="000000"/>
          <w:rtl w:val="0"/>
        </w:rPr>
        <w:t xml:space="preserve">Computação de Borda Móvel:</w:t>
      </w:r>
      <w:r w:rsidDel="00000000" w:rsidR="00000000" w:rsidRPr="00000000">
        <w:rPr>
          <w:color w:val="000000"/>
          <w:rtl w:val="0"/>
        </w:rPr>
        <w:t xml:space="preserve"> MacBook Air M1 (8GB RAM / 256GB SSD) acoplado via HUB USB-C FTX para dock station rápida, ideal para codificação de sistemas locais e controle SSH imediato de servidores.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color w:val="000000"/>
          <w:rtl w:val="0"/>
        </w:rPr>
        <w:t xml:space="preserve">Dispositivos Móveis e Wearables:</w:t>
      </w:r>
      <w:r w:rsidDel="00000000" w:rsidR="00000000" w:rsidRPr="00000000">
        <w:rPr>
          <w:color w:val="000000"/>
          <w:rtl w:val="0"/>
        </w:rPr>
        <w:t xml:space="preserve"> iPhone 15 Pro Max (256GB / 8GB RAM) e Apple Watch Series 9 45mm, utilizados para autenticação de dois fatores (2FA), monitoramento de alertas críticos via push e comunicação de campo.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color w:val="000000"/>
          <w:rtl w:val="0"/>
        </w:rPr>
        <w:t xml:space="preserve">Redundância Físicas de Componentes (Estoque de Contingência):</w:t>
      </w:r>
      <w:r w:rsidDel="00000000" w:rsidR="00000000" w:rsidRPr="00000000">
        <w:rPr>
          <w:color w:val="000000"/>
          <w:rtl w:val="0"/>
        </w:rPr>
        <w:t xml:space="preserve"> Placas-mãe sobressalentes (2x B450M Biostar), múltiplos SSDs M.2 e SATA sobressalentes (Adata, WD Green) e mais de 2.5 TB de armazenamento em HDs portáteis isolados (arquivos mortos e backups frios).</w:t>
      </w:r>
    </w:p>
    <w:p w:rsidR="00000000" w:rsidDel="00000000" w:rsidP="00000000" w:rsidRDefault="00000000" w:rsidRPr="00000000" w14:paraId="0000004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>
          <w:color w:val="1a365d"/>
        </w:rPr>
      </w:pPr>
      <w:r w:rsidDel="00000000" w:rsidR="00000000" w:rsidRPr="00000000">
        <w:rPr>
          <w:color w:val="1a365d"/>
          <w:rtl w:val="0"/>
        </w:rPr>
        <w:t xml:space="preserve">5. Conclusão e Diferenciais para o Cliente Final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Esta infraestrutura serve como o exemplo prático ideal de como estruturar um ambiente tecnológico corporativo escalável e resiliente: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color w:val="000000"/>
          <w:rtl w:val="0"/>
        </w:rPr>
        <w:t xml:space="preserve">Garantia de Uptime (Disponibilidade):</w:t>
      </w:r>
      <w:r w:rsidDel="00000000" w:rsidR="00000000" w:rsidRPr="00000000">
        <w:rPr>
          <w:color w:val="000000"/>
          <w:rtl w:val="0"/>
        </w:rPr>
        <w:t xml:space="preserve"> A divisão em 3 servidores físicos independentes assegura que, mesmo em manutenções programadas, os serviços essenciais permaneçam ativos sem interrupção para o cliente final.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color w:val="000000"/>
          <w:rtl w:val="0"/>
        </w:rPr>
        <w:t xml:space="preserve">Arquivamento Seguro e Multi-Camadas:</w:t>
      </w:r>
      <w:r w:rsidDel="00000000" w:rsidR="00000000" w:rsidRPr="00000000">
        <w:rPr>
          <w:color w:val="000000"/>
          <w:rtl w:val="0"/>
        </w:rPr>
        <w:t xml:space="preserve"> Com mais de 17 TB monitorados em tempo real (18/18 unidades operando perfeitamente), o sistema demonstra competência em políticas rígidas de backup diário, isolamento de Ransomware e integridade de dados.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color w:val="000000"/>
          <w:rtl w:val="0"/>
        </w:rPr>
        <w:t xml:space="preserve">Eficiência Térmica e Energética:</w:t>
      </w:r>
      <w:r w:rsidDel="00000000" w:rsidR="00000000" w:rsidRPr="00000000">
        <w:rPr>
          <w:color w:val="000000"/>
          <w:rtl w:val="0"/>
        </w:rPr>
        <w:t xml:space="preserve"> O controle fino das temperaturas de operação prolonga a vida útil dos componentes eletrônicos corporativos, reduzindo falhas por sobreaquecimento, enquanto o consumo inteligente de energia otimiza os custos operacionais (OpEx) do projeto.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2981325</wp:posOffset>
            </wp:positionH>
            <wp:positionV relativeFrom="paragraph">
              <wp:posOffset>866775</wp:posOffset>
            </wp:positionV>
            <wp:extent cx="2962275" cy="3968637"/>
            <wp:effectExtent b="0" l="0" r="0" t="0"/>
            <wp:wrapSquare wrapText="bothSides" distB="114300" distT="114300" distL="114300" distR="11430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39686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2981325</wp:posOffset>
            </wp:positionH>
            <wp:positionV relativeFrom="paragraph">
              <wp:posOffset>4000500</wp:posOffset>
            </wp:positionV>
            <wp:extent cx="2978944" cy="3971925"/>
            <wp:effectExtent b="0" l="0" r="0" t="0"/>
            <wp:wrapTopAndBottom distB="114300" distT="11430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8944" cy="3971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-352424</wp:posOffset>
            </wp:positionH>
            <wp:positionV relativeFrom="paragraph">
              <wp:posOffset>152400</wp:posOffset>
            </wp:positionV>
            <wp:extent cx="2962275" cy="3944289"/>
            <wp:effectExtent b="0" l="0" r="0" t="0"/>
            <wp:wrapSquare wrapText="bothSides" distB="114300" distT="114300" distL="114300" distR="11430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39442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-352424</wp:posOffset>
            </wp:positionH>
            <wp:positionV relativeFrom="paragraph">
              <wp:posOffset>4000500</wp:posOffset>
            </wp:positionV>
            <wp:extent cx="2962275" cy="3943095"/>
            <wp:effectExtent b="0" l="0" r="0" t="0"/>
            <wp:wrapTopAndBottom distB="114300" distT="11430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39430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5943600" cy="3581400"/>
            <wp:effectExtent b="0" l="0" r="0" t="0"/>
            <wp:wrapSquare wrapText="bothSides" distB="114300" distT="114300" distL="114300" distR="11430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3962400</wp:posOffset>
            </wp:positionV>
            <wp:extent cx="5943600" cy="3162300"/>
            <wp:effectExtent b="0" l="0" r="0" t="0"/>
            <wp:wrapTopAndBottom distB="114300" distT="11430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5943600" cy="3022600"/>
            <wp:effectExtent b="0" l="0" r="0" t="0"/>
            <wp:wrapSquare wrapText="bothSides" distB="114300" distT="114300" distL="114300" distR="11430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-47624</wp:posOffset>
            </wp:positionH>
            <wp:positionV relativeFrom="paragraph">
              <wp:posOffset>3352800</wp:posOffset>
            </wp:positionV>
            <wp:extent cx="5943600" cy="4381500"/>
            <wp:effectExtent b="0" l="0" r="0" t="0"/>
            <wp:wrapTopAndBottom distB="114300" distT="11430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5943600" cy="4483100"/>
            <wp:effectExtent b="0" l="0" r="0" t="0"/>
            <wp:wrapSquare wrapText="bothSides" distB="114300" distT="114300" distL="114300" distR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5400675</wp:posOffset>
            </wp:positionV>
            <wp:extent cx="3238500" cy="3590925"/>
            <wp:effectExtent b="0" l="0" r="0" t="0"/>
            <wp:wrapTopAndBottom distB="114300" distT="11430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3590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image" Target="media/image10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2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6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