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40" w:before="0" w:line="276" w:lineRule="auto"/>
        <w:jc w:val="center"/>
      </w:pPr>
      <w:r>
        <w:rPr>
          <w:b/>
          <w:i w:val="0"/>
          <w:color w:val="1F5C3A"/>
          <w:sz w:val="26"/>
        </w:rPr>
        <w:t>UNIVERSIDAD AUTÓNOMA DEL ESTADO DE MÉXICO</w:t>
      </w:r>
    </w:p>
    <w:p>
      <w:pPr>
        <w:spacing w:after="80" w:before="0" w:line="276" w:lineRule="auto"/>
        <w:jc w:val="center"/>
      </w:pPr>
      <w:r>
        <w:rPr>
          <w:b w:val="0"/>
          <w:i w:val="0"/>
          <w:color w:val="555555"/>
          <w:sz w:val="24"/>
        </w:rPr>
        <w:t>Facultad de Ingeniería</w:t>
      </w:r>
    </w:p>
    <w:p>
      <w:pPr>
        <w:jc w:val="center"/>
        <w:pBdr>
          <w:bottom w:val="single" w:sz="10" w:space="6" w:color="1F5C3A"/>
        </w:pBdr>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100" w:before="0" w:line="276" w:lineRule="auto"/>
        <w:jc w:val="center"/>
      </w:pPr>
      <w:r>
        <w:rPr>
          <w:b/>
          <w:i w:val="0"/>
          <w:color w:val="1F5C3A"/>
          <w:sz w:val="40"/>
        </w:rPr>
        <w:t>ARQUITECTURA GENERAL DEL VIDEOJUEGO</w:t>
      </w:r>
    </w:p>
    <w:p>
      <w:pPr>
        <w:spacing w:after="40" w:before="0" w:line="276" w:lineRule="auto"/>
        <w:jc w:val="center"/>
      </w:pPr>
      <w:r>
        <w:rPr>
          <w:b w:val="0"/>
          <w:i w:val="0"/>
          <w:color w:val="555555"/>
          <w:sz w:val="26"/>
        </w:rPr>
        <w:t>Simulador de guerra de tanques en dos dimensiones</w:t>
      </w:r>
    </w:p>
    <w:p>
      <w:pPr>
        <w:spacing w:after="120" w:before="0" w:line="276" w:lineRule="auto"/>
        <w:jc w:val="center"/>
      </w:pPr>
      <w:r>
        <w:rPr>
          <w:b w:val="0"/>
          <w:i/>
          <w:color w:val="555555"/>
          <w:sz w:val="22"/>
        </w:rPr>
        <w:t>Segundo reporte de avance</w:t>
      </w:r>
    </w:p>
    <w:p>
      <w:pPr>
        <w:jc w:val="center"/>
        <w:pBdr>
          <w:bottom w:val="single" w:sz="6" w:space="6" w:color="BFBFBF"/>
        </w:pBdr>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200" w:before="0" w:line="276" w:lineRule="auto"/>
        <w:jc w:val="center"/>
      </w:pPr>
      <w:r>
        <w:rPr>
          <w:b/>
          <w:i w:val="0"/>
          <w:color w:val="2E74B5"/>
          <w:sz w:val="24"/>
        </w:rPr>
        <w:t>Sistemas Interactivos</w:t>
      </w:r>
    </w:p>
    <w:p>
      <w:pPr>
        <w:spacing w:after="80" w:before="0" w:line="276" w:lineRule="auto"/>
        <w:jc w:val="center"/>
      </w:pPr>
      <w:r>
        <w:rPr>
          <w:b/>
          <w:i w:val="0"/>
          <w:color w:val="555555"/>
          <w:sz w:val="22"/>
        </w:rPr>
        <w:t>Equipo 01</w:t>
      </w:r>
    </w:p>
    <w:p>
      <w:pPr>
        <w:spacing w:after="40" w:before="0" w:line="276" w:lineRule="auto"/>
        <w:jc w:val="center"/>
      </w:pPr>
      <w:r>
        <w:rPr>
          <w:b w:val="0"/>
          <w:i w:val="0"/>
          <w:color w:val="1A1A1A"/>
          <w:sz w:val="22"/>
        </w:rPr>
        <w:t>García Urbina, Iván Daniel</w:t>
      </w:r>
    </w:p>
    <w:p>
      <w:pPr>
        <w:spacing w:after="40" w:before="0" w:line="276" w:lineRule="auto"/>
        <w:jc w:val="center"/>
      </w:pPr>
      <w:r>
        <w:rPr>
          <w:b w:val="0"/>
          <w:i w:val="0"/>
          <w:color w:val="1A1A1A"/>
          <w:sz w:val="22"/>
        </w:rPr>
        <w:t>Méndez Reyes, Arturo Dante</w:t>
      </w:r>
    </w:p>
    <w:p>
      <w:pPr>
        <w:spacing w:after="40" w:before="0" w:line="276" w:lineRule="auto"/>
        <w:jc w:val="center"/>
      </w:pPr>
      <w:r>
        <w:rPr>
          <w:b w:val="0"/>
          <w:i w:val="0"/>
          <w:color w:val="1A1A1A"/>
          <w:sz w:val="22"/>
        </w:rPr>
        <w:t>Romero Martínez, Erick Raúl</w:t>
      </w:r>
    </w:p>
    <w:p>
      <w:pPr>
        <w:spacing w:after="40" w:before="0" w:line="276" w:lineRule="auto"/>
        <w:jc w:val="center"/>
      </w:pPr>
      <w:r>
        <w:rPr>
          <w:b w:val="0"/>
          <w:i w:val="0"/>
          <w:color w:val="1A1A1A"/>
          <w:sz w:val="22"/>
        </w:rPr>
        <w:t>Suárez Solares, Josué Abisaí</w:t>
      </w:r>
    </w:p>
    <w:p>
      <w:pPr>
        <w:spacing w:after="160" w:before="0" w:line="276" w:lineRule="auto"/>
      </w:pPr>
    </w:p>
    <w:p>
      <w:pPr>
        <w:spacing w:after="280" w:before="0" w:line="276" w:lineRule="auto"/>
        <w:jc w:val="center"/>
      </w:pPr>
      <w:r>
        <w:rPr>
          <w:b w:val="0"/>
          <w:i w:val="0"/>
          <w:color w:val="555555"/>
          <w:sz w:val="22"/>
        </w:rPr>
        <w:t>Docente:  ______________________________</w:t>
      </w:r>
    </w:p>
    <w:p>
      <w:pPr>
        <w:spacing w:after="140" w:before="0" w:line="276" w:lineRule="auto"/>
        <w:jc w:val="center"/>
      </w:pPr>
      <w:r>
        <w:rPr>
          <w:b w:val="0"/>
          <w:i w:val="0"/>
          <w:color w:val="555555"/>
          <w:sz w:val="21"/>
        </w:rPr>
        <w:t>Semestre 2026 – B          ·          Toluca, Estado de México</w:t>
      </w:r>
    </w:p>
    <w:p>
      <w:r>
        <w:br w:type="page"/>
      </w:r>
    </w:p>
    <w:p>
      <w:pPr>
        <w:keepNext/>
        <w:spacing w:before="400" w:after="160"/>
      </w:pPr>
      <w:r>
        <w:rPr>
          <w:rFonts w:ascii="Arial" w:hAnsi="Arial"/>
          <w:b/>
          <w:color w:val="1F5C3A"/>
          <w:sz w:val="28"/>
        </w:rPr>
        <w:t>1.  Introducción</w:t>
      </w:r>
    </w:p>
    <w:p>
      <w:pPr>
        <w:keepNext/>
        <w:spacing w:before="260" w:after="100"/>
      </w:pPr>
      <w:r>
        <w:rPr>
          <w:rFonts w:ascii="Arial" w:hAnsi="Arial"/>
          <w:b/>
          <w:color w:val="2E74B5"/>
          <w:sz w:val="24"/>
        </w:rPr>
        <w:t>1.1  Propósito del documento</w:t>
      </w:r>
    </w:p>
    <w:p>
      <w:pPr>
        <w:spacing w:after="140" w:before="0" w:line="276" w:lineRule="auto"/>
      </w:pPr>
      <w:r>
        <w:rPr>
          <w:b w:val="0"/>
          <w:i w:val="0"/>
          <w:color w:val="1A1A1A"/>
          <w:sz w:val="22"/>
        </w:rPr>
        <w:t>A partir de la especificación establecida en el primer reporte, este documento recoge el diseño completo del simulador antes de comenzar la implementación. Presenta la arquitectura propuesta, el modelo del juego, el lenguaje de instrucciones, los diagramas de flujo, el mapa del tablero, la propuesta de diseño gráfico con sus bosquejos y el cronograma de trabajo hasta la entrega.</w:t>
      </w:r>
    </w:p>
    <w:p>
      <w:pPr>
        <w:spacing w:after="140" w:before="0" w:line="276" w:lineRule="auto"/>
      </w:pPr>
      <w:r>
        <w:rPr>
          <w:b w:val="0"/>
          <w:i w:val="0"/>
          <w:color w:val="1A1A1A"/>
          <w:sz w:val="22"/>
        </w:rPr>
        <w:t>Conviene señalar con claridad el estado del proyecto: a la fecha de este reporte no se ha escrito código ni se han ejecutado pruebas. Todo lo que aquí se presenta corresponde a la etapa de diseño, y la implementación comienza en la primera semana del cronograma de la sección 9.</w:t>
      </w:r>
    </w:p>
    <w:p>
      <w:pPr>
        <w:keepNext/>
        <w:spacing w:before="260" w:after="100"/>
      </w:pPr>
      <w:r>
        <w:rPr>
          <w:rFonts w:ascii="Arial" w:hAnsi="Arial"/>
          <w:b/>
          <w:color w:val="2E74B5"/>
          <w:sz w:val="24"/>
        </w:rPr>
        <w:t>1.2  Alcance de este reporte</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744"/>
            <w:shd w:val="clear" w:color="auto" w:fill="1F5C3A"/>
          </w:tcPr>
          <w:p>
            <w:pPr>
              <w:spacing w:after="40" w:before="40"/>
            </w:pPr>
            <w:r>
              <w:rPr>
                <w:b/>
                <w:color w:val="FFFFFF"/>
                <w:sz w:val="19"/>
              </w:rPr>
              <w:t>Elemento</w:t>
            </w:r>
          </w:p>
        </w:tc>
        <w:tc>
          <w:tcPr>
            <w:tcW w:type="dxa" w:w="2160"/>
            <w:shd w:val="clear" w:color="auto" w:fill="1F5C3A"/>
          </w:tcPr>
          <w:p>
            <w:pPr>
              <w:spacing w:after="40" w:before="40"/>
            </w:pPr>
            <w:r>
              <w:rPr>
                <w:b/>
                <w:color w:val="FFFFFF"/>
                <w:sz w:val="19"/>
              </w:rPr>
              <w:t>Estado</w:t>
            </w:r>
          </w:p>
        </w:tc>
        <w:tc>
          <w:tcPr>
            <w:tcW w:type="dxa" w:w="3168"/>
            <w:shd w:val="clear" w:color="auto" w:fill="1F5C3A"/>
          </w:tcPr>
          <w:p>
            <w:pPr>
              <w:spacing w:after="40" w:before="40"/>
            </w:pPr>
            <w:r>
              <w:rPr>
                <w:b/>
                <w:color w:val="FFFFFF"/>
                <w:sz w:val="19"/>
              </w:rPr>
              <w:t>Dónde se encuentra</w:t>
            </w:r>
          </w:p>
        </w:tc>
      </w:tr>
      <w:tr>
        <w:trPr>
          <w:cantSplit/>
        </w:trPr>
        <w:tc>
          <w:tcPr>
            <w:tcW w:type="dxa" w:w="3744"/>
          </w:tcPr>
          <w:p>
            <w:pPr>
              <w:spacing w:after="40" w:before="40" w:line="252" w:lineRule="auto"/>
            </w:pPr>
            <w:r>
              <w:rPr>
                <w:sz w:val="19"/>
              </w:rPr>
              <w:t>Arquitectura y contratos entre módulos</w:t>
            </w:r>
          </w:p>
        </w:tc>
        <w:tc>
          <w:tcPr>
            <w:tcW w:type="dxa" w:w="2160"/>
          </w:tcPr>
          <w:p>
            <w:pPr>
              <w:spacing w:after="40" w:before="40" w:line="252" w:lineRule="auto"/>
            </w:pPr>
            <w:r>
              <w:rPr>
                <w:b/>
                <w:sz w:val="19"/>
              </w:rPr>
              <w:t>Propuesta</w:t>
            </w:r>
          </w:p>
        </w:tc>
        <w:tc>
          <w:tcPr>
            <w:tcW w:type="dxa" w:w="3168"/>
          </w:tcPr>
          <w:p>
            <w:pPr>
              <w:spacing w:after="40" w:before="40" w:line="252" w:lineRule="auto"/>
            </w:pPr>
            <w:r>
              <w:rPr>
                <w:sz w:val="19"/>
              </w:rPr>
              <w:t>Sección 2</w:t>
            </w:r>
          </w:p>
        </w:tc>
      </w:tr>
      <w:tr>
        <w:trPr>
          <w:cantSplit/>
        </w:trPr>
        <w:tc>
          <w:tcPr>
            <w:tcW w:type="dxa" w:w="3744"/>
            <w:shd w:val="clear" w:color="auto" w:fill="F2F2F2"/>
          </w:tcPr>
          <w:p>
            <w:pPr>
              <w:spacing w:after="40" w:before="40" w:line="252" w:lineRule="auto"/>
            </w:pPr>
            <w:r>
              <w:rPr>
                <w:sz w:val="19"/>
              </w:rPr>
              <w:t>Modelo del juego y decisiones de diseño</w:t>
            </w:r>
          </w:p>
        </w:tc>
        <w:tc>
          <w:tcPr>
            <w:tcW w:type="dxa" w:w="2160"/>
            <w:shd w:val="clear" w:color="auto" w:fill="F2F2F2"/>
          </w:tcPr>
          <w:p>
            <w:pPr>
              <w:spacing w:after="40" w:before="40" w:line="252" w:lineRule="auto"/>
            </w:pPr>
            <w:r>
              <w:rPr>
                <w:b/>
                <w:sz w:val="19"/>
              </w:rPr>
              <w:t>Definido</w:t>
            </w:r>
          </w:p>
        </w:tc>
        <w:tc>
          <w:tcPr>
            <w:tcW w:type="dxa" w:w="3168"/>
            <w:shd w:val="clear" w:color="auto" w:fill="F2F2F2"/>
          </w:tcPr>
          <w:p>
            <w:pPr>
              <w:spacing w:after="40" w:before="40" w:line="252" w:lineRule="auto"/>
            </w:pPr>
            <w:r>
              <w:rPr>
                <w:sz w:val="19"/>
              </w:rPr>
              <w:t>Sección 3</w:t>
            </w:r>
          </w:p>
        </w:tc>
      </w:tr>
      <w:tr>
        <w:trPr>
          <w:cantSplit/>
        </w:trPr>
        <w:tc>
          <w:tcPr>
            <w:tcW w:type="dxa" w:w="3744"/>
          </w:tcPr>
          <w:p>
            <w:pPr>
              <w:spacing w:after="40" w:before="40" w:line="252" w:lineRule="auto"/>
            </w:pPr>
            <w:r>
              <w:rPr>
                <w:sz w:val="19"/>
              </w:rPr>
              <w:t>Lenguaje de instrucciones y gramática</w:t>
            </w:r>
          </w:p>
        </w:tc>
        <w:tc>
          <w:tcPr>
            <w:tcW w:type="dxa" w:w="2160"/>
          </w:tcPr>
          <w:p>
            <w:pPr>
              <w:spacing w:after="40" w:before="40" w:line="252" w:lineRule="auto"/>
            </w:pPr>
            <w:r>
              <w:rPr>
                <w:b/>
                <w:sz w:val="19"/>
              </w:rPr>
              <w:t>Definido</w:t>
            </w:r>
          </w:p>
        </w:tc>
        <w:tc>
          <w:tcPr>
            <w:tcW w:type="dxa" w:w="3168"/>
          </w:tcPr>
          <w:p>
            <w:pPr>
              <w:spacing w:after="40" w:before="40" w:line="252" w:lineRule="auto"/>
            </w:pPr>
            <w:r>
              <w:rPr>
                <w:sz w:val="19"/>
              </w:rPr>
              <w:t>Sección 4</w:t>
            </w:r>
          </w:p>
        </w:tc>
      </w:tr>
      <w:tr>
        <w:trPr>
          <w:cantSplit/>
        </w:trPr>
        <w:tc>
          <w:tcPr>
            <w:tcW w:type="dxa" w:w="3744"/>
            <w:shd w:val="clear" w:color="auto" w:fill="F2F2F2"/>
          </w:tcPr>
          <w:p>
            <w:pPr>
              <w:spacing w:after="40" w:before="40" w:line="252" w:lineRule="auto"/>
            </w:pPr>
            <w:r>
              <w:rPr>
                <w:sz w:val="19"/>
              </w:rPr>
              <w:t>Diagramas de flujo</w:t>
            </w:r>
          </w:p>
        </w:tc>
        <w:tc>
          <w:tcPr>
            <w:tcW w:type="dxa" w:w="2160"/>
            <w:shd w:val="clear" w:color="auto" w:fill="F2F2F2"/>
          </w:tcPr>
          <w:p>
            <w:pPr>
              <w:spacing w:after="40" w:before="40" w:line="252" w:lineRule="auto"/>
            </w:pPr>
            <w:r>
              <w:rPr>
                <w:b/>
                <w:sz w:val="19"/>
              </w:rPr>
              <w:t>Entregados</w:t>
            </w:r>
          </w:p>
        </w:tc>
        <w:tc>
          <w:tcPr>
            <w:tcW w:type="dxa" w:w="3168"/>
            <w:shd w:val="clear" w:color="auto" w:fill="F2F2F2"/>
          </w:tcPr>
          <w:p>
            <w:pPr>
              <w:spacing w:after="40" w:before="40" w:line="252" w:lineRule="auto"/>
            </w:pPr>
            <w:r>
              <w:rPr>
                <w:sz w:val="19"/>
              </w:rPr>
              <w:t>Sección 5</w:t>
            </w:r>
          </w:p>
        </w:tc>
      </w:tr>
      <w:tr>
        <w:trPr>
          <w:cantSplit/>
        </w:trPr>
        <w:tc>
          <w:tcPr>
            <w:tcW w:type="dxa" w:w="3744"/>
          </w:tcPr>
          <w:p>
            <w:pPr>
              <w:spacing w:after="40" w:before="40" w:line="252" w:lineRule="auto"/>
            </w:pPr>
            <w:r>
              <w:rPr>
                <w:sz w:val="19"/>
              </w:rPr>
              <w:t>Mapa del tablero</w:t>
            </w:r>
          </w:p>
        </w:tc>
        <w:tc>
          <w:tcPr>
            <w:tcW w:type="dxa" w:w="2160"/>
          </w:tcPr>
          <w:p>
            <w:pPr>
              <w:spacing w:after="40" w:before="40" w:line="252" w:lineRule="auto"/>
            </w:pPr>
            <w:r>
              <w:rPr>
                <w:b/>
                <w:sz w:val="19"/>
              </w:rPr>
              <w:t>Entregado</w:t>
            </w:r>
          </w:p>
        </w:tc>
        <w:tc>
          <w:tcPr>
            <w:tcW w:type="dxa" w:w="3168"/>
          </w:tcPr>
          <w:p>
            <w:pPr>
              <w:spacing w:after="40" w:before="40" w:line="252" w:lineRule="auto"/>
            </w:pPr>
            <w:r>
              <w:rPr>
                <w:sz w:val="19"/>
              </w:rPr>
              <w:t>Sección 3.1</w:t>
            </w:r>
          </w:p>
        </w:tc>
      </w:tr>
      <w:tr>
        <w:trPr>
          <w:cantSplit/>
        </w:trPr>
        <w:tc>
          <w:tcPr>
            <w:tcW w:type="dxa" w:w="3744"/>
            <w:shd w:val="clear" w:color="auto" w:fill="F2F2F2"/>
          </w:tcPr>
          <w:p>
            <w:pPr>
              <w:spacing w:after="40" w:before="40" w:line="252" w:lineRule="auto"/>
            </w:pPr>
            <w:r>
              <w:rPr>
                <w:sz w:val="19"/>
              </w:rPr>
              <w:t>Diseño gráfico y bosquejos de interfaz</w:t>
            </w:r>
          </w:p>
        </w:tc>
        <w:tc>
          <w:tcPr>
            <w:tcW w:type="dxa" w:w="2160"/>
            <w:shd w:val="clear" w:color="auto" w:fill="F2F2F2"/>
          </w:tcPr>
          <w:p>
            <w:pPr>
              <w:spacing w:after="40" w:before="40" w:line="252" w:lineRule="auto"/>
            </w:pPr>
            <w:r>
              <w:rPr>
                <w:b/>
                <w:sz w:val="19"/>
              </w:rPr>
              <w:t>Propuesta</w:t>
            </w:r>
          </w:p>
        </w:tc>
        <w:tc>
          <w:tcPr>
            <w:tcW w:type="dxa" w:w="3168"/>
            <w:shd w:val="clear" w:color="auto" w:fill="F2F2F2"/>
          </w:tcPr>
          <w:p>
            <w:pPr>
              <w:spacing w:after="40" w:before="40" w:line="252" w:lineRule="auto"/>
            </w:pPr>
            <w:r>
              <w:rPr>
                <w:sz w:val="19"/>
              </w:rPr>
              <w:t>Sección 6</w:t>
            </w:r>
          </w:p>
        </w:tc>
      </w:tr>
      <w:tr>
        <w:trPr>
          <w:cantSplit/>
        </w:trPr>
        <w:tc>
          <w:tcPr>
            <w:tcW w:type="dxa" w:w="3744"/>
          </w:tcPr>
          <w:p>
            <w:pPr>
              <w:spacing w:after="40" w:before="40" w:line="252" w:lineRule="auto"/>
            </w:pPr>
            <w:r>
              <w:rPr>
                <w:sz w:val="19"/>
              </w:rPr>
              <w:t>Plan de pruebas</w:t>
            </w:r>
          </w:p>
        </w:tc>
        <w:tc>
          <w:tcPr>
            <w:tcW w:type="dxa" w:w="2160"/>
          </w:tcPr>
          <w:p>
            <w:pPr>
              <w:spacing w:after="40" w:before="40" w:line="252" w:lineRule="auto"/>
            </w:pPr>
            <w:r>
              <w:rPr>
                <w:b/>
                <w:sz w:val="19"/>
              </w:rPr>
              <w:t>Definido</w:t>
            </w:r>
          </w:p>
        </w:tc>
        <w:tc>
          <w:tcPr>
            <w:tcW w:type="dxa" w:w="3168"/>
          </w:tcPr>
          <w:p>
            <w:pPr>
              <w:spacing w:after="40" w:before="40" w:line="252" w:lineRule="auto"/>
            </w:pPr>
            <w:r>
              <w:rPr>
                <w:sz w:val="19"/>
              </w:rPr>
              <w:t>Sección 7</w:t>
            </w:r>
          </w:p>
        </w:tc>
      </w:tr>
      <w:tr>
        <w:trPr>
          <w:cantSplit/>
        </w:trPr>
        <w:tc>
          <w:tcPr>
            <w:tcW w:type="dxa" w:w="3744"/>
            <w:shd w:val="clear" w:color="auto" w:fill="F2F2F2"/>
          </w:tcPr>
          <w:p>
            <w:pPr>
              <w:spacing w:after="40" w:before="40" w:line="252" w:lineRule="auto"/>
            </w:pPr>
            <w:r>
              <w:rPr>
                <w:sz w:val="19"/>
              </w:rPr>
              <w:t>Cronograma</w:t>
            </w:r>
          </w:p>
        </w:tc>
        <w:tc>
          <w:tcPr>
            <w:tcW w:type="dxa" w:w="2160"/>
            <w:shd w:val="clear" w:color="auto" w:fill="F2F2F2"/>
          </w:tcPr>
          <w:p>
            <w:pPr>
              <w:spacing w:after="40" w:before="40" w:line="252" w:lineRule="auto"/>
            </w:pPr>
            <w:r>
              <w:rPr>
                <w:b/>
                <w:sz w:val="19"/>
              </w:rPr>
              <w:t>Entregado</w:t>
            </w:r>
          </w:p>
        </w:tc>
        <w:tc>
          <w:tcPr>
            <w:tcW w:type="dxa" w:w="3168"/>
            <w:shd w:val="clear" w:color="auto" w:fill="F2F2F2"/>
          </w:tcPr>
          <w:p>
            <w:pPr>
              <w:spacing w:after="40" w:before="40" w:line="252" w:lineRule="auto"/>
            </w:pPr>
            <w:r>
              <w:rPr>
                <w:sz w:val="19"/>
              </w:rPr>
              <w:t>Sección 9</w:t>
            </w:r>
          </w:p>
        </w:tc>
      </w:tr>
      <w:tr>
        <w:trPr>
          <w:cantSplit/>
        </w:trPr>
        <w:tc>
          <w:tcPr>
            <w:tcW w:type="dxa" w:w="3744"/>
          </w:tcPr>
          <w:p>
            <w:pPr>
              <w:keepNext/>
              <w:spacing w:after="40" w:before="40" w:line="252" w:lineRule="auto"/>
            </w:pPr>
            <w:r>
              <w:rPr>
                <w:sz w:val="19"/>
              </w:rPr>
              <w:t>Intérprete, motor e interfaz</w:t>
            </w:r>
          </w:p>
        </w:tc>
        <w:tc>
          <w:tcPr>
            <w:tcW w:type="dxa" w:w="2160"/>
          </w:tcPr>
          <w:p>
            <w:pPr>
              <w:keepNext/>
              <w:spacing w:after="40" w:before="40" w:line="252" w:lineRule="auto"/>
            </w:pPr>
            <w:r>
              <w:rPr>
                <w:b/>
                <w:sz w:val="19"/>
              </w:rPr>
              <w:t>Por implementar</w:t>
            </w:r>
          </w:p>
        </w:tc>
        <w:tc>
          <w:tcPr>
            <w:tcW w:type="dxa" w:w="3168"/>
          </w:tcPr>
          <w:p>
            <w:pPr>
              <w:keepNext/>
              <w:spacing w:after="40" w:before="40" w:line="252" w:lineRule="auto"/>
            </w:pPr>
            <w:r>
              <w:rPr>
                <w:sz w:val="19"/>
              </w:rPr>
              <w:t>Semanas 1 a 4</w:t>
            </w:r>
          </w:p>
        </w:tc>
      </w:tr>
    </w:tbl>
    <w:p>
      <w:pPr>
        <w:spacing w:after="40"/>
      </w:pPr>
    </w:p>
    <w:p>
      <w:pPr>
        <w:spacing w:after="240" w:before="40"/>
        <w:jc w:val="center"/>
      </w:pPr>
      <w:r>
        <w:rPr>
          <w:i/>
          <w:color w:val="555555"/>
          <w:sz w:val="18"/>
        </w:rPr>
        <w:t>Tabla 1. Alcance de este reporte y ubicación de cada elemento.</w:t>
      </w:r>
    </w:p>
    <w:p>
      <w:pPr>
        <w:keepNext/>
        <w:spacing w:before="400" w:after="160"/>
      </w:pPr>
      <w:r>
        <w:rPr>
          <w:rFonts w:ascii="Arial" w:hAnsi="Arial"/>
          <w:b/>
          <w:color w:val="1F5C3A"/>
          <w:sz w:val="28"/>
        </w:rPr>
        <w:t>2.  Arquitectura propuesta</w:t>
      </w:r>
    </w:p>
    <w:p>
      <w:pPr>
        <w:spacing w:after="140" w:before="0" w:line="276" w:lineRule="auto"/>
      </w:pPr>
      <w:r>
        <w:rPr>
          <w:b w:val="0"/>
          <w:i w:val="0"/>
          <w:color w:val="1A1A1A"/>
          <w:sz w:val="22"/>
        </w:rPr>
        <w:t>El sistema se dividirá en módulos independientes que se comunican mediante estructuras de datos acordadas de antemano. Esta separación permite que cada integrante trabaje sobre una parte distinta sin interferir con las demás y que puedan incorporarse nuevas reglas sin modificar el resto del programa.</w:t>
      </w:r>
    </w:p>
    <w:p>
      <w:pPr>
        <w:keepNext/>
        <w:spacing w:before="260" w:after="100"/>
      </w:pPr>
      <w:r>
        <w:rPr>
          <w:rFonts w:ascii="Arial" w:hAnsi="Arial"/>
          <w:b/>
          <w:color w:val="2E74B5"/>
          <w:sz w:val="24"/>
        </w:rPr>
        <w:t>2.1  Módulos y responsabilidades</w:t>
      </w:r>
    </w:p>
    <w:p>
      <w:pPr>
        <w:keepNext/>
        <w:spacing w:before="160" w:after="60"/>
        <w:jc w:val="center"/>
      </w:pPr>
      <w:r>
        <w:drawing>
          <wp:inline xmlns:a="http://schemas.openxmlformats.org/drawingml/2006/main" xmlns:pic="http://schemas.openxmlformats.org/drawingml/2006/picture">
            <wp:extent cx="5760720" cy="3510439"/>
            <wp:docPr id="1" name="Picture 1"/>
            <wp:cNvGraphicFramePr>
              <a:graphicFrameLocks noChangeAspect="1"/>
            </wp:cNvGraphicFramePr>
            <a:graphic>
              <a:graphicData uri="http://schemas.openxmlformats.org/drawingml/2006/picture">
                <pic:pic>
                  <pic:nvPicPr>
                    <pic:cNvPr id="0" name="fig_arquitectura.png"/>
                    <pic:cNvPicPr/>
                  </pic:nvPicPr>
                  <pic:blipFill>
                    <a:blip r:embed="rId9"/>
                    <a:stretch>
                      <a:fillRect/>
                    </a:stretch>
                  </pic:blipFill>
                  <pic:spPr>
                    <a:xfrm>
                      <a:off x="0" y="0"/>
                      <a:ext cx="5760720" cy="3510439"/>
                    </a:xfrm>
                    <a:prstGeom prst="rect"/>
                  </pic:spPr>
                </pic:pic>
              </a:graphicData>
            </a:graphic>
          </wp:inline>
        </w:drawing>
      </w:r>
    </w:p>
    <w:p>
      <w:pPr>
        <w:spacing w:after="240"/>
        <w:jc w:val="center"/>
      </w:pPr>
      <w:r>
        <w:rPr>
          <w:rFonts w:ascii="Arial" w:hAnsi="Arial"/>
          <w:i/>
          <w:color w:val="555555"/>
          <w:sz w:val="18"/>
        </w:rPr>
        <w:t>Figura 1. Módulos del simulador y flujo de la información.</w:t>
      </w:r>
    </w:p>
    <w:p>
      <w:pPr>
        <w:pStyle w:val="ListBullet"/>
        <w:spacing w:after="80" w:line="269" w:lineRule="auto"/>
      </w:pPr>
      <w:r>
        <w:rPr>
          <w:color w:val="1A1A1A"/>
          <w:sz w:val="22"/>
        </w:rPr>
        <w:t>El intérprete recibe texto y entrega instrucciones estructuradas; no conoce el tablero.</w:t>
      </w:r>
    </w:p>
    <w:p>
      <w:pPr>
        <w:pStyle w:val="ListBullet"/>
        <w:spacing w:after="80" w:line="269" w:lineRule="auto"/>
      </w:pPr>
      <w:r>
        <w:rPr>
          <w:color w:val="1A1A1A"/>
          <w:sz w:val="22"/>
        </w:rPr>
        <w:t>El motor contiene todas las reglas del juego; no sabe nada de la interfaz.</w:t>
      </w:r>
    </w:p>
    <w:p>
      <w:pPr>
        <w:pStyle w:val="ListBullet"/>
        <w:spacing w:after="80" w:line="269" w:lineRule="auto"/>
      </w:pPr>
      <w:r>
        <w:rPr>
          <w:color w:val="1A1A1A"/>
          <w:sz w:val="22"/>
        </w:rPr>
        <w:t>La interfaz solo lee el estado que publica el motor y lo dibuja; no contiene reglas.</w:t>
      </w:r>
    </w:p>
    <w:p>
      <w:pPr>
        <w:keepNext/>
        <w:spacing w:before="260" w:after="100"/>
      </w:pPr>
      <w:r>
        <w:rPr>
          <w:rFonts w:ascii="Arial" w:hAnsi="Arial"/>
          <w:b/>
          <w:color w:val="2E74B5"/>
          <w:sz w:val="24"/>
        </w:rPr>
        <w:t>2.2  Contratos propuestos entre módulos</w:t>
      </w:r>
    </w:p>
    <w:p>
      <w:pPr>
        <w:spacing w:after="140" w:before="0" w:line="276" w:lineRule="auto"/>
      </w:pPr>
      <w:r>
        <w:rPr>
          <w:b w:val="0"/>
          <w:i w:val="0"/>
          <w:color w:val="1A1A1A"/>
          <w:sz w:val="22"/>
        </w:rPr>
        <w:t>Las siguientes firmas se fijan antes de repartir el trabajo y constituirán el único punto de contacto entre los módulos, de modo que cualquiera de ellos pueda reescribirse por completo sin afectar a los demás. Acordarlas antes de programar es lo que permitirá que los cuatro integrantes avancen en paralelo.</w:t>
      </w:r>
    </w:p>
    <w:p>
      <w:pPr>
        <w:spacing w:after="0" w:line="240" w:lineRule="auto"/>
        <w:ind w:left="317"/>
        <w:shd w:val="clear" w:color="auto" w:fill="F5F5F5"/>
      </w:pPr>
      <w:r>
        <w:rPr>
          <w:rFonts w:ascii="Consolas" w:hAnsi="Consolas"/>
          <w:color w:val="1A1A1A"/>
          <w:sz w:val="17"/>
        </w:rPr>
        <w:t># ---------- intérprete ----------</w:t>
      </w:r>
    </w:p>
    <w:p>
      <w:pPr>
        <w:spacing w:after="0" w:line="240" w:lineRule="auto"/>
        <w:ind w:left="317"/>
        <w:shd w:val="clear" w:color="auto" w:fill="F5F5F5"/>
      </w:pPr>
      <w:r>
        <w:rPr>
          <w:rFonts w:ascii="Consolas" w:hAnsi="Consolas"/>
          <w:color w:val="1A1A1A"/>
          <w:sz w:val="17"/>
        </w:rPr>
        <w:t>cargar(ruta) -&gt; (programa, errores)</w:t>
      </w:r>
    </w:p>
    <w:p>
      <w:pPr>
        <w:spacing w:after="0" w:line="240" w:lineRule="auto"/>
        <w:ind w:left="317"/>
        <w:shd w:val="clear" w:color="auto" w:fill="F5F5F5"/>
      </w:pPr>
      <w:r>
        <w:rPr>
          <w:rFonts w:ascii="Consolas" w:hAnsi="Consolas"/>
          <w:color w:val="1A1A1A"/>
          <w:sz w:val="17"/>
        </w:rPr>
        <w:t xml:space="preserve">    # si 'errores' no está vacío, el programa se descarta</w:t>
      </w:r>
    </w:p>
    <w:p>
      <w:pPr>
        <w:spacing w:after="0" w:line="240" w:lineRule="auto"/>
        <w:ind w:left="317"/>
        <w:shd w:val="clear" w:color="auto" w:fill="F5F5F5"/>
      </w:pPr>
      <w:r>
        <w:rPr>
          <w:rFonts w:ascii="Consolas" w:hAnsi="Consolas"/>
          <w:color w:val="1A1A1A"/>
          <w:sz w:val="17"/>
        </w:rPr>
        <w:t xml:space="preserve"> </w:t>
      </w:r>
    </w:p>
    <w:p>
      <w:pPr>
        <w:spacing w:after="0" w:line="240" w:lineRule="auto"/>
        <w:ind w:left="317"/>
        <w:shd w:val="clear" w:color="auto" w:fill="F5F5F5"/>
      </w:pPr>
      <w:r>
        <w:rPr>
          <w:rFonts w:ascii="Consolas" w:hAnsi="Consolas"/>
          <w:color w:val="1A1A1A"/>
          <w:sz w:val="17"/>
        </w:rPr>
        <w:t>Instruccion = {</w:t>
      </w:r>
    </w:p>
    <w:p>
      <w:pPr>
        <w:spacing w:after="0" w:line="240" w:lineRule="auto"/>
        <w:ind w:left="317"/>
        <w:shd w:val="clear" w:color="auto" w:fill="F5F5F5"/>
      </w:pPr>
      <w:r>
        <w:rPr>
          <w:rFonts w:ascii="Consolas" w:hAnsi="Consolas"/>
          <w:color w:val="1A1A1A"/>
          <w:sz w:val="17"/>
        </w:rPr>
        <w:t xml:space="preserve">    tipo   : MOV | AMT | RADAR | DAÑAR | MISIL | MINA |</w:t>
      </w:r>
    </w:p>
    <w:p>
      <w:pPr>
        <w:spacing w:after="0" w:line="240" w:lineRule="auto"/>
        <w:ind w:left="317"/>
        <w:shd w:val="clear" w:color="auto" w:fill="F5F5F5"/>
      </w:pPr>
      <w:r>
        <w:rPr>
          <w:rFonts w:ascii="Consolas" w:hAnsi="Consolas"/>
          <w:color w:val="1A1A1A"/>
          <w:sz w:val="17"/>
        </w:rPr>
        <w:t xml:space="preserve">             ESCUDO | RESTAURAR | ESPERAR | IF</w:t>
      </w:r>
    </w:p>
    <w:p>
      <w:pPr>
        <w:spacing w:after="0" w:line="240" w:lineRule="auto"/>
        <w:ind w:left="317"/>
        <w:shd w:val="clear" w:color="auto" w:fill="F5F5F5"/>
      </w:pPr>
      <w:r>
        <w:rPr>
          <w:rFonts w:ascii="Consolas" w:hAnsi="Consolas"/>
          <w:color w:val="1A1A1A"/>
          <w:sz w:val="17"/>
        </w:rPr>
        <w:t xml:space="preserve">    dir    : N | S | E | O   |  None</w:t>
      </w:r>
    </w:p>
    <w:p>
      <w:pPr>
        <w:spacing w:after="0" w:line="240" w:lineRule="auto"/>
        <w:ind w:left="317"/>
        <w:shd w:val="clear" w:color="auto" w:fill="F5F5F5"/>
      </w:pPr>
      <w:r>
        <w:rPr>
          <w:rFonts w:ascii="Consolas" w:hAnsi="Consolas"/>
          <w:color w:val="1A1A1A"/>
          <w:sz w:val="17"/>
        </w:rPr>
        <w:t xml:space="preserve">    x, y   : entero          |  None</w:t>
      </w:r>
    </w:p>
    <w:p>
      <w:pPr>
        <w:spacing w:after="0" w:line="240" w:lineRule="auto"/>
        <w:ind w:left="317"/>
        <w:shd w:val="clear" w:color="auto" w:fill="F5F5F5"/>
      </w:pPr>
      <w:r>
        <w:rPr>
          <w:rFonts w:ascii="Consolas" w:hAnsi="Consolas"/>
          <w:color w:val="1A1A1A"/>
          <w:sz w:val="17"/>
        </w:rPr>
        <w:t xml:space="preserve">    cond   : { fuente, dir, operador, valor }  |  None</w:t>
      </w:r>
    </w:p>
    <w:p>
      <w:pPr>
        <w:spacing w:after="0" w:line="240" w:lineRule="auto"/>
        <w:ind w:left="317"/>
        <w:shd w:val="clear" w:color="auto" w:fill="F5F5F5"/>
      </w:pPr>
      <w:r>
        <w:rPr>
          <w:rFonts w:ascii="Consolas" w:hAnsi="Consolas"/>
          <w:color w:val="1A1A1A"/>
          <w:sz w:val="17"/>
        </w:rPr>
        <w:t xml:space="preserve">    accion : Instruccion     |  None      # solo cuando tipo = IF</w:t>
      </w:r>
    </w:p>
    <w:p>
      <w:pPr>
        <w:spacing w:after="0" w:line="240" w:lineRule="auto"/>
        <w:ind w:left="317"/>
        <w:shd w:val="clear" w:color="auto" w:fill="F5F5F5"/>
      </w:pPr>
      <w:r>
        <w:rPr>
          <w:rFonts w:ascii="Consolas" w:hAnsi="Consolas"/>
          <w:color w:val="1A1A1A"/>
          <w:sz w:val="17"/>
        </w:rPr>
        <w:t xml:space="preserve">    linea  : entero                       # para la bitácora</w:t>
      </w:r>
    </w:p>
    <w:p>
      <w:pPr>
        <w:spacing w:after="0" w:line="240" w:lineRule="auto"/>
        <w:ind w:left="317"/>
        <w:shd w:val="clear" w:color="auto" w:fill="F5F5F5"/>
      </w:pPr>
      <w:r>
        <w:rPr>
          <w:rFonts w:ascii="Consolas" w:hAnsi="Consolas"/>
          <w:color w:val="1A1A1A"/>
          <w:sz w:val="17"/>
        </w:rPr>
        <w:t>}</w:t>
      </w:r>
    </w:p>
    <w:p>
      <w:pPr>
        <w:spacing w:after="0" w:line="240" w:lineRule="auto"/>
        <w:ind w:left="317"/>
        <w:shd w:val="clear" w:color="auto" w:fill="F5F5F5"/>
      </w:pPr>
      <w:r>
        <w:rPr>
          <w:rFonts w:ascii="Consolas" w:hAnsi="Consolas"/>
          <w:color w:val="1A1A1A"/>
          <w:sz w:val="17"/>
        </w:rPr>
        <w:t xml:space="preserve"> </w:t>
      </w:r>
    </w:p>
    <w:p>
      <w:pPr>
        <w:spacing w:after="0" w:line="240" w:lineRule="auto"/>
        <w:ind w:left="317"/>
        <w:shd w:val="clear" w:color="auto" w:fill="F5F5F5"/>
      </w:pPr>
      <w:r>
        <w:rPr>
          <w:rFonts w:ascii="Consolas" w:hAnsi="Consolas"/>
          <w:color w:val="1A1A1A"/>
          <w:sz w:val="17"/>
        </w:rPr>
        <w:t># ---------- motor ----------</w:t>
      </w:r>
    </w:p>
    <w:p>
      <w:pPr>
        <w:spacing w:after="0" w:line="240" w:lineRule="auto"/>
        <w:ind w:left="317"/>
        <w:shd w:val="clear" w:color="auto" w:fill="F5F5F5"/>
      </w:pPr>
      <w:r>
        <w:rPr>
          <w:rFonts w:ascii="Consolas" w:hAnsi="Consolas"/>
          <w:color w:val="1A1A1A"/>
          <w:sz w:val="17"/>
        </w:rPr>
        <w:t>Motor(config, programas, semilla)</w:t>
      </w:r>
    </w:p>
    <w:p>
      <w:pPr>
        <w:spacing w:after="0" w:line="240" w:lineRule="auto"/>
        <w:ind w:left="317"/>
        <w:shd w:val="clear" w:color="auto" w:fill="F5F5F5"/>
      </w:pPr>
      <w:r>
        <w:rPr>
          <w:rFonts w:ascii="Consolas" w:hAnsi="Consolas"/>
          <w:color w:val="1A1A1A"/>
          <w:sz w:val="17"/>
        </w:rPr>
        <w:t xml:space="preserve">    .paso()      -&gt; [Evento]     # ejecuta un turno</w:t>
      </w:r>
    </w:p>
    <w:p>
      <w:pPr>
        <w:spacing w:after="0" w:line="240" w:lineRule="auto"/>
        <w:ind w:left="317"/>
        <w:shd w:val="clear" w:color="auto" w:fill="F5F5F5"/>
      </w:pPr>
      <w:r>
        <w:rPr>
          <w:rFonts w:ascii="Consolas" w:hAnsi="Consolas"/>
          <w:color w:val="1A1A1A"/>
          <w:sz w:val="17"/>
        </w:rPr>
        <w:t xml:space="preserve">    .ronda()     -&gt; [Evento]     # ejecuta una ronda completa</w:t>
      </w:r>
    </w:p>
    <w:p>
      <w:pPr>
        <w:spacing w:after="0" w:line="240" w:lineRule="auto"/>
        <w:ind w:left="317"/>
        <w:shd w:val="clear" w:color="auto" w:fill="F5F5F5"/>
      </w:pPr>
      <w:r>
        <w:rPr>
          <w:rFonts w:ascii="Consolas" w:hAnsi="Consolas"/>
          <w:color w:val="1A1A1A"/>
          <w:sz w:val="17"/>
        </w:rPr>
        <w:t xml:space="preserve">    .estado()    -&gt; EstadoJuego  # copia de solo lectura</w:t>
      </w:r>
    </w:p>
    <w:p>
      <w:pPr>
        <w:spacing w:after="0" w:line="240" w:lineRule="auto"/>
        <w:ind w:left="317"/>
        <w:shd w:val="clear" w:color="auto" w:fill="F5F5F5"/>
      </w:pPr>
      <w:r>
        <w:rPr>
          <w:rFonts w:ascii="Consolas" w:hAnsi="Consolas"/>
          <w:color w:val="1A1A1A"/>
          <w:sz w:val="17"/>
        </w:rPr>
        <w:t xml:space="preserve">    .terminada() -&gt; bool</w:t>
      </w:r>
    </w:p>
    <w:p>
      <w:pPr>
        <w:spacing w:after="200" w:line="240" w:lineRule="auto"/>
        <w:ind w:left="317"/>
        <w:shd w:val="clear" w:color="auto" w:fill="F5F5F5"/>
      </w:pPr>
      <w:r>
        <w:rPr>
          <w:rFonts w:ascii="Consolas" w:hAnsi="Consolas"/>
          <w:color w:val="1A1A1A"/>
          <w:sz w:val="17"/>
        </w:rPr>
        <w:t xml:space="preserve">    .resultado() -&gt; { ganador, motivo, daño_infligido }</w:t>
      </w:r>
    </w:p>
    <w:p>
      <w:pPr>
        <w:spacing w:after="140" w:before="0" w:line="276" w:lineRule="auto"/>
      </w:pPr>
      <w:r>
        <w:rPr>
          <w:b w:val="0"/>
          <w:i w:val="0"/>
          <w:color w:val="1A1A1A"/>
          <w:sz w:val="22"/>
        </w:rPr>
        <w:t>Se propone que el motor devuelva una lista de eventos en lugar de escribir en pantalla. Con ello la bitácora y la interfaz consumirán la misma información y el motor podrá probarse sin necesidad de la interfaz gráfica.</w:t>
      </w:r>
    </w:p>
    <w:p>
      <w:pPr>
        <w:keepNext/>
        <w:spacing w:before="400" w:after="160"/>
      </w:pPr>
      <w:r>
        <w:rPr>
          <w:rFonts w:ascii="Arial" w:hAnsi="Arial"/>
          <w:b/>
          <w:color w:val="1F5C3A"/>
          <w:sz w:val="28"/>
        </w:rPr>
        <w:t>3.  Modelo del juego</w:t>
      </w:r>
    </w:p>
    <w:p>
      <w:pPr>
        <w:keepNext/>
        <w:spacing w:before="260" w:after="100"/>
      </w:pPr>
      <w:r>
        <w:rPr>
          <w:rFonts w:ascii="Arial" w:hAnsi="Arial"/>
          <w:b/>
          <w:color w:val="2E74B5"/>
          <w:sz w:val="24"/>
        </w:rPr>
        <w:t>3.1  El tablero</w:t>
      </w:r>
    </w:p>
    <w:p>
      <w:pPr>
        <w:spacing w:after="140" w:before="0" w:line="276" w:lineRule="auto"/>
      </w:pPr>
      <w:r>
        <w:rPr>
          <w:b w:val="0"/>
          <w:i w:val="0"/>
          <w:color w:val="1A1A1A"/>
          <w:sz w:val="22"/>
        </w:rPr>
        <w:t>El tablero es una matriz de dimensiones configurables, con un valor inicial de ocho por ocho casillas. Los tanques se colocan en posiciones aleatorias al comenzar la partida, de modo que ninguna estrategia pueda apoyarse en una disposición conocida de antemano.</w:t>
      </w:r>
    </w:p>
    <w:p>
      <w:pPr>
        <w:keepNext/>
        <w:spacing w:before="160" w:after="60"/>
        <w:jc w:val="center"/>
      </w:pPr>
      <w:r>
        <w:drawing>
          <wp:inline xmlns:a="http://schemas.openxmlformats.org/drawingml/2006/main" xmlns:pic="http://schemas.openxmlformats.org/drawingml/2006/picture">
            <wp:extent cx="5303520" cy="6982968"/>
            <wp:docPr id="2" name="Picture 2"/>
            <wp:cNvGraphicFramePr>
              <a:graphicFrameLocks noChangeAspect="1"/>
            </wp:cNvGraphicFramePr>
            <a:graphic>
              <a:graphicData uri="http://schemas.openxmlformats.org/drawingml/2006/picture">
                <pic:pic>
                  <pic:nvPicPr>
                    <pic:cNvPr id="0" name="fig_mapa.png"/>
                    <pic:cNvPicPr/>
                  </pic:nvPicPr>
                  <pic:blipFill>
                    <a:blip r:embed="rId10"/>
                    <a:stretch>
                      <a:fillRect/>
                    </a:stretch>
                  </pic:blipFill>
                  <pic:spPr>
                    <a:xfrm>
                      <a:off x="0" y="0"/>
                      <a:ext cx="5303520" cy="6982968"/>
                    </a:xfrm>
                    <a:prstGeom prst="rect"/>
                  </pic:spPr>
                </pic:pic>
              </a:graphicData>
            </a:graphic>
          </wp:inline>
        </w:drawing>
      </w:r>
    </w:p>
    <w:p>
      <w:pPr>
        <w:spacing w:after="240"/>
        <w:jc w:val="center"/>
      </w:pPr>
      <w:r>
        <w:rPr>
          <w:rFonts w:ascii="Arial" w:hAnsi="Arial"/>
          <w:i/>
          <w:color w:val="555555"/>
          <w:sz w:val="18"/>
        </w:rPr>
        <w:t>Figura 2. Mapa del tablero con un estado de ejemplo y la leyenda de sus elementos.</w:t>
      </w:r>
    </w:p>
    <w:p>
      <w:pPr>
        <w:keepNext/>
        <w:spacing w:before="260" w:after="100"/>
      </w:pPr>
      <w:r>
        <w:rPr>
          <w:rFonts w:ascii="Arial" w:hAnsi="Arial"/>
          <w:b/>
          <w:color w:val="2E74B5"/>
          <w:sz w:val="24"/>
        </w:rPr>
        <w:t>3.2  Sistema de coordenadas</w:t>
      </w:r>
    </w:p>
    <w:p>
      <w:pPr>
        <w:pStyle w:val="ListBullet"/>
        <w:spacing w:after="80" w:line="269" w:lineRule="auto"/>
      </w:pPr>
      <w:r>
        <w:rPr>
          <w:color w:val="1A1A1A"/>
          <w:sz w:val="22"/>
        </w:rPr>
        <w:t>Se escribe (x, y): x es la columna e y es la fila; ambas en base 1.</w:t>
      </w:r>
    </w:p>
    <w:p>
      <w:pPr>
        <w:pStyle w:val="ListBullet"/>
        <w:spacing w:after="80" w:line="269" w:lineRule="auto"/>
      </w:pPr>
      <w:r>
        <w:rPr>
          <w:color w:val="1A1A1A"/>
          <w:sz w:val="22"/>
        </w:rPr>
        <w:t>La columna 1 corresponde al oeste y la fila 1 al norte.</w:t>
      </w:r>
    </w:p>
    <w:p>
      <w:pPr>
        <w:pStyle w:val="ListBullet"/>
        <w:spacing w:after="80" w:line="269" w:lineRule="auto"/>
      </w:pPr>
      <w:r>
        <w:rPr>
          <w:color w:val="1A1A1A"/>
          <w:sz w:val="22"/>
        </w:rPr>
        <w:t>N disminuye y,  S aumenta y,  E aumenta x,  O disminuye x.</w:t>
      </w:r>
    </w:p>
    <w:p>
      <w:pPr>
        <w:pStyle w:val="ListBullet"/>
        <w:spacing w:after="80" w:line="269" w:lineRule="auto"/>
      </w:pPr>
      <w:r>
        <w:rPr>
          <w:color w:val="1A1A1A"/>
          <w:sz w:val="22"/>
        </w:rPr>
        <w:t>El radar considera pared la primera casilla situada fuera del tablero.</w:t>
      </w:r>
    </w:p>
    <w:p>
      <w:pPr>
        <w:keepNext/>
        <w:spacing w:before="260" w:after="100"/>
      </w:pPr>
      <w:r>
        <w:rPr>
          <w:rFonts w:ascii="Arial" w:hAnsi="Arial"/>
          <w:b/>
          <w:color w:val="2E74B5"/>
          <w:sz w:val="24"/>
        </w:rPr>
        <w:t>3.3  Glosario: turno y ronda</w:t>
      </w:r>
    </w:p>
    <w:p>
      <w:pPr>
        <w:spacing w:after="140" w:before="0" w:line="276" w:lineRule="auto"/>
      </w:pPr>
      <w:r>
        <w:rPr>
          <w:b w:val="0"/>
          <w:i w:val="0"/>
          <w:color w:val="1A1A1A"/>
          <w:sz w:val="22"/>
        </w:rPr>
        <w:t>La distinción resulta indispensable porque varios contadores del juego dependen de ella y una confusión entre ambos términos produce errores difíciles de localizar.</w:t>
      </w:r>
    </w:p>
    <w:tbl>
      <w:tblPr>
        <w:tblStyle w:val="TableGrid"/>
        <w:tblW w:type="auto" w:w="0"/>
        <w:jc w:val="center"/>
        <w:tblLook w:firstColumn="1" w:firstRow="1" w:lastColumn="0" w:lastRow="0" w:noHBand="0" w:noVBand="1" w:val="04A0"/>
      </w:tblPr>
      <w:tblGrid>
        <w:gridCol w:w="4680"/>
        <w:gridCol w:w="4680"/>
      </w:tblGrid>
      <w:tr>
        <w:trPr>
          <w:cantSplit/>
        </w:trPr>
        <w:tc>
          <w:tcPr>
            <w:tcW w:type="dxa" w:w="1872"/>
            <w:shd w:val="clear" w:color="auto" w:fill="1F5C3A"/>
          </w:tcPr>
          <w:p>
            <w:pPr>
              <w:spacing w:after="40" w:before="40"/>
            </w:pPr>
            <w:r>
              <w:rPr>
                <w:b/>
                <w:color w:val="FFFFFF"/>
                <w:sz w:val="19"/>
              </w:rPr>
              <w:t>Término</w:t>
            </w:r>
          </w:p>
        </w:tc>
        <w:tc>
          <w:tcPr>
            <w:tcW w:type="dxa" w:w="7200"/>
            <w:shd w:val="clear" w:color="auto" w:fill="1F5C3A"/>
          </w:tcPr>
          <w:p>
            <w:pPr>
              <w:spacing w:after="40" w:before="40"/>
            </w:pPr>
            <w:r>
              <w:rPr>
                <w:b/>
                <w:color w:val="FFFFFF"/>
                <w:sz w:val="19"/>
              </w:rPr>
              <w:t>Definición</w:t>
            </w:r>
          </w:p>
        </w:tc>
      </w:tr>
      <w:tr>
        <w:trPr>
          <w:cantSplit/>
        </w:trPr>
        <w:tc>
          <w:tcPr>
            <w:tcW w:type="dxa" w:w="1872"/>
          </w:tcPr>
          <w:p>
            <w:pPr>
              <w:spacing w:after="40" w:before="40" w:line="252" w:lineRule="auto"/>
            </w:pPr>
            <w:r>
              <w:rPr>
                <w:b/>
                <w:sz w:val="19"/>
              </w:rPr>
              <w:t>Turno</w:t>
            </w:r>
          </w:p>
        </w:tc>
        <w:tc>
          <w:tcPr>
            <w:tcW w:type="dxa" w:w="7200"/>
          </w:tcPr>
          <w:p>
            <w:pPr>
              <w:spacing w:after="40" w:before="40" w:line="252" w:lineRule="auto"/>
            </w:pPr>
            <w:r>
              <w:rPr>
                <w:sz w:val="19"/>
              </w:rPr>
              <w:t>Una instrucción ejecutada por un tanque.</w:t>
            </w:r>
          </w:p>
        </w:tc>
      </w:tr>
      <w:tr>
        <w:trPr>
          <w:cantSplit/>
        </w:trPr>
        <w:tc>
          <w:tcPr>
            <w:tcW w:type="dxa" w:w="1872"/>
            <w:shd w:val="clear" w:color="auto" w:fill="F2F2F2"/>
          </w:tcPr>
          <w:p>
            <w:pPr>
              <w:keepNext/>
              <w:spacing w:after="40" w:before="40" w:line="252" w:lineRule="auto"/>
            </w:pPr>
            <w:r>
              <w:rPr>
                <w:b/>
                <w:sz w:val="19"/>
              </w:rPr>
              <w:t>Ronda</w:t>
            </w:r>
          </w:p>
        </w:tc>
        <w:tc>
          <w:tcPr>
            <w:tcW w:type="dxa" w:w="7200"/>
            <w:shd w:val="clear" w:color="auto" w:fill="F2F2F2"/>
          </w:tcPr>
          <w:p>
            <w:pPr>
              <w:keepNext/>
              <w:spacing w:after="40" w:before="40" w:line="252" w:lineRule="auto"/>
            </w:pPr>
            <w:r>
              <w:rPr>
                <w:sz w:val="19"/>
              </w:rPr>
              <w:t>Un turno de cada uno de los tanques que siguen vivos.</w:t>
            </w:r>
          </w:p>
        </w:tc>
      </w:tr>
    </w:tbl>
    <w:p>
      <w:pPr>
        <w:spacing w:after="40"/>
      </w:pPr>
    </w:p>
    <w:p>
      <w:pPr>
        <w:spacing w:after="240" w:before="40"/>
        <w:jc w:val="center"/>
      </w:pPr>
      <w:r>
        <w:rPr>
          <w:i/>
          <w:color w:val="555555"/>
          <w:sz w:val="18"/>
        </w:rPr>
        <w:t>Tabla 2. Definición de turno y de ronda.</w:t>
      </w:r>
    </w:p>
    <w:p>
      <w:pPr>
        <w:spacing w:after="240" w:before="0" w:line="276" w:lineRule="auto"/>
      </w:pPr>
      <w:r>
        <w:rPr>
          <w:b w:val="0"/>
          <w:i w:val="0"/>
          <w:color w:val="1A1A1A"/>
          <w:sz w:val="22"/>
        </w:rPr>
        <w:t>Cada contador declara de forma explícita en cuál de los dos se mide: la mina se arma tras dos turnos de su propietario, el escudo dura hasta el siguiente turno del tanque y el límite de la partida se cuenta en rondas.</w:t>
      </w:r>
    </w:p>
    <w:p>
      <w:pPr>
        <w:keepNext/>
        <w:spacing w:before="260" w:after="100"/>
      </w:pPr>
      <w:r>
        <w:rPr>
          <w:rFonts w:ascii="Arial" w:hAnsi="Arial"/>
          <w:b/>
          <w:color w:val="2E74B5"/>
          <w:sz w:val="24"/>
        </w:rPr>
        <w:t>3.4  Decisiones de diseño adoptadas</w:t>
      </w:r>
    </w:p>
    <w:p>
      <w:pPr>
        <w:spacing w:after="140" w:before="0" w:line="276" w:lineRule="auto"/>
      </w:pPr>
      <w:r>
        <w:rPr>
          <w:b w:val="0"/>
          <w:i w:val="0"/>
          <w:color w:val="1A1A1A"/>
          <w:sz w:val="22"/>
        </w:rPr>
        <w:t>El primer reporte dejaba varios puntos abiertos. Estas son las decisiones tomadas, sujetas a revisión tras las pruebas de balanceo.</w:t>
      </w:r>
    </w:p>
    <w:tbl>
      <w:tblPr>
        <w:tblStyle w:val="TableGrid"/>
        <w:tblW w:type="auto" w:w="0"/>
        <w:jc w:val="center"/>
        <w:tblLook w:firstColumn="1" w:firstRow="1" w:lastColumn="0" w:lastRow="0" w:noHBand="0" w:noVBand="1" w:val="04A0"/>
      </w:tblPr>
      <w:tblGrid>
        <w:gridCol w:w="4680"/>
        <w:gridCol w:w="4680"/>
      </w:tblGrid>
      <w:tr>
        <w:trPr>
          <w:cantSplit/>
        </w:trPr>
        <w:tc>
          <w:tcPr>
            <w:tcW w:type="dxa" w:w="1944"/>
            <w:shd w:val="clear" w:color="auto" w:fill="1F5C3A"/>
          </w:tcPr>
          <w:p>
            <w:pPr>
              <w:spacing w:after="40" w:before="40"/>
            </w:pPr>
            <w:r>
              <w:rPr>
                <w:b/>
                <w:color w:val="FFFFFF"/>
                <w:sz w:val="18"/>
              </w:rPr>
              <w:t>Tema</w:t>
            </w:r>
          </w:p>
        </w:tc>
        <w:tc>
          <w:tcPr>
            <w:tcW w:type="dxa" w:w="7128"/>
            <w:shd w:val="clear" w:color="auto" w:fill="1F5C3A"/>
          </w:tcPr>
          <w:p>
            <w:pPr>
              <w:spacing w:after="40" w:before="40"/>
            </w:pPr>
            <w:r>
              <w:rPr>
                <w:b/>
                <w:color w:val="FFFFFF"/>
                <w:sz w:val="18"/>
              </w:rPr>
              <w:t>Decisión adoptada</w:t>
            </w:r>
          </w:p>
        </w:tc>
      </w:tr>
      <w:tr>
        <w:trPr>
          <w:cantSplit/>
        </w:trPr>
        <w:tc>
          <w:tcPr>
            <w:tcW w:type="dxa" w:w="1944"/>
          </w:tcPr>
          <w:p>
            <w:pPr>
              <w:spacing w:after="40" w:before="40" w:line="252" w:lineRule="auto"/>
            </w:pPr>
            <w:r>
              <w:rPr>
                <w:sz w:val="18"/>
              </w:rPr>
              <w:t>Orden del turno</w:t>
            </w:r>
          </w:p>
        </w:tc>
        <w:tc>
          <w:tcPr>
            <w:tcW w:type="dxa" w:w="7128"/>
          </w:tcPr>
          <w:p>
            <w:pPr>
              <w:spacing w:after="40" w:before="40" w:line="252" w:lineRule="auto"/>
            </w:pPr>
            <w:r>
              <w:rPr>
                <w:sz w:val="18"/>
              </w:rPr>
              <w:t>En cada ronda todos los tanques vivos ejecutan una instrucción; el orden se sortea al inicio de la ronda.</w:t>
            </w:r>
          </w:p>
        </w:tc>
      </w:tr>
      <w:tr>
        <w:trPr>
          <w:cantSplit/>
        </w:trPr>
        <w:tc>
          <w:tcPr>
            <w:tcW w:type="dxa" w:w="1944"/>
            <w:shd w:val="clear" w:color="auto" w:fill="F2F2F2"/>
          </w:tcPr>
          <w:p>
            <w:pPr>
              <w:spacing w:after="40" w:before="40" w:line="252" w:lineRule="auto"/>
            </w:pPr>
            <w:r>
              <w:rPr>
                <w:sz w:val="18"/>
              </w:rPr>
              <w:t>Fin del programa</w:t>
            </w:r>
          </w:p>
        </w:tc>
        <w:tc>
          <w:tcPr>
            <w:tcW w:type="dxa" w:w="7128"/>
            <w:shd w:val="clear" w:color="auto" w:fill="F2F2F2"/>
          </w:tcPr>
          <w:p>
            <w:pPr>
              <w:spacing w:after="40" w:before="40" w:line="252" w:lineRule="auto"/>
            </w:pPr>
            <w:r>
              <w:rPr>
                <w:sz w:val="18"/>
              </w:rPr>
              <w:t>Al llegar al final del archivo, el programa se reinicia desde la primera línea.</w:t>
            </w:r>
          </w:p>
        </w:tc>
      </w:tr>
      <w:tr>
        <w:trPr>
          <w:cantSplit/>
        </w:trPr>
        <w:tc>
          <w:tcPr>
            <w:tcW w:type="dxa" w:w="1944"/>
          </w:tcPr>
          <w:p>
            <w:pPr>
              <w:spacing w:after="40" w:before="40" w:line="252" w:lineRule="auto"/>
            </w:pPr>
            <w:r>
              <w:rPr>
                <w:sz w:val="18"/>
              </w:rPr>
              <w:t>Radar</w:t>
            </w:r>
          </w:p>
        </w:tc>
        <w:tc>
          <w:tcPr>
            <w:tcW w:type="dxa" w:w="7128"/>
          </w:tcPr>
          <w:p>
            <w:pPr>
              <w:spacing w:after="40" w:before="40" w:line="252" w:lineRule="auto"/>
            </w:pPr>
            <w:r>
              <w:rPr>
                <w:sz w:val="18"/>
              </w:rPr>
              <w:t>Devuelve la distancia al primer elemento encontrado: positiva si es un enemigo, negativa si es una pared. No detecta minas ni refacciones.</w:t>
            </w:r>
          </w:p>
        </w:tc>
      </w:tr>
      <w:tr>
        <w:trPr>
          <w:cantSplit/>
        </w:trPr>
        <w:tc>
          <w:tcPr>
            <w:tcW w:type="dxa" w:w="1944"/>
            <w:shd w:val="clear" w:color="auto" w:fill="F2F2F2"/>
          </w:tcPr>
          <w:p>
            <w:pPr>
              <w:spacing w:after="40" w:before="40" w:line="252" w:lineRule="auto"/>
            </w:pPr>
            <w:r>
              <w:rPr>
                <w:sz w:val="18"/>
              </w:rPr>
              <w:t>IF con RADAR</w:t>
            </w:r>
          </w:p>
        </w:tc>
        <w:tc>
          <w:tcPr>
            <w:tcW w:type="dxa" w:w="7128"/>
            <w:shd w:val="clear" w:color="auto" w:fill="F2F2F2"/>
          </w:tcPr>
          <w:p>
            <w:pPr>
              <w:spacing w:after="40" w:before="40" w:line="252" w:lineRule="auto"/>
            </w:pPr>
            <w:r>
              <w:rPr>
                <w:sz w:val="18"/>
              </w:rPr>
              <w:t>Emplea el resultado del radar anterior si fue en la misma dirección; en caso contrario explora en ese momento. El IF consume un turno.</w:t>
            </w:r>
          </w:p>
        </w:tc>
      </w:tr>
      <w:tr>
        <w:trPr>
          <w:cantSplit/>
        </w:trPr>
        <w:tc>
          <w:tcPr>
            <w:tcW w:type="dxa" w:w="1944"/>
          </w:tcPr>
          <w:p>
            <w:pPr>
              <w:spacing w:after="40" w:before="40" w:line="252" w:lineRule="auto"/>
            </w:pPr>
            <w:r>
              <w:rPr>
                <w:sz w:val="18"/>
              </w:rPr>
              <w:t>Misil</w:t>
            </w:r>
          </w:p>
        </w:tc>
        <w:tc>
          <w:tcPr>
            <w:tcW w:type="dxa" w:w="7128"/>
          </w:tcPr>
          <w:p>
            <w:pPr>
              <w:spacing w:after="40" w:before="40" w:line="252" w:lineRule="auto"/>
            </w:pPr>
            <w:r>
              <w:rPr>
                <w:sz w:val="18"/>
              </w:rPr>
              <w:t>Daña únicamente la casilla objetivo; si está vacía, el proyectil se pierde. Consume munición en cualquier caso.</w:t>
            </w:r>
          </w:p>
        </w:tc>
      </w:tr>
      <w:tr>
        <w:trPr>
          <w:cantSplit/>
        </w:trPr>
        <w:tc>
          <w:tcPr>
            <w:tcW w:type="dxa" w:w="1944"/>
            <w:shd w:val="clear" w:color="auto" w:fill="F2F2F2"/>
          </w:tcPr>
          <w:p>
            <w:pPr>
              <w:spacing w:after="40" w:before="40" w:line="252" w:lineRule="auto"/>
            </w:pPr>
            <w:r>
              <w:rPr>
                <w:sz w:val="18"/>
              </w:rPr>
              <w:t>Mina</w:t>
            </w:r>
          </w:p>
        </w:tc>
        <w:tc>
          <w:tcPr>
            <w:tcW w:type="dxa" w:w="7128"/>
            <w:shd w:val="clear" w:color="auto" w:fill="F2F2F2"/>
          </w:tcPr>
          <w:p>
            <w:pPr>
              <w:spacing w:after="40" w:before="40" w:line="252" w:lineRule="auto"/>
            </w:pPr>
            <w:r>
              <w:rPr>
                <w:sz w:val="18"/>
              </w:rPr>
              <w:t>Se activa dos turnos del propietario después de colocarse y daña a cualquier tanque que la pise, incluido su dueño; ese daño no se acredita.</w:t>
            </w:r>
          </w:p>
        </w:tc>
      </w:tr>
      <w:tr>
        <w:trPr>
          <w:cantSplit/>
        </w:trPr>
        <w:tc>
          <w:tcPr>
            <w:tcW w:type="dxa" w:w="1944"/>
          </w:tcPr>
          <w:p>
            <w:pPr>
              <w:spacing w:after="40" w:before="40" w:line="252" w:lineRule="auto"/>
            </w:pPr>
            <w:r>
              <w:rPr>
                <w:sz w:val="18"/>
              </w:rPr>
              <w:t>Escudo</w:t>
            </w:r>
          </w:p>
        </w:tc>
        <w:tc>
          <w:tcPr>
            <w:tcW w:type="dxa" w:w="7128"/>
          </w:tcPr>
          <w:p>
            <w:pPr>
              <w:spacing w:after="40" w:before="40" w:line="252" w:lineRule="auto"/>
            </w:pPr>
            <w:r>
              <w:rPr>
                <w:sz w:val="18"/>
              </w:rPr>
              <w:t>Protege desde que se activa hasta el siguiente turno del tanque. Bloquea todo el daño salvo el choque contra la pared.</w:t>
            </w:r>
          </w:p>
        </w:tc>
      </w:tr>
      <w:tr>
        <w:trPr>
          <w:cantSplit/>
        </w:trPr>
        <w:tc>
          <w:tcPr>
            <w:tcW w:type="dxa" w:w="1944"/>
            <w:shd w:val="clear" w:color="auto" w:fill="F2F2F2"/>
          </w:tcPr>
          <w:p>
            <w:pPr>
              <w:spacing w:after="40" w:before="40" w:line="252" w:lineRule="auto"/>
            </w:pPr>
            <w:r>
              <w:rPr>
                <w:sz w:val="18"/>
              </w:rPr>
              <w:t>Choques</w:t>
            </w:r>
          </w:p>
        </w:tc>
        <w:tc>
          <w:tcPr>
            <w:tcW w:type="dxa" w:w="7128"/>
            <w:shd w:val="clear" w:color="auto" w:fill="F2F2F2"/>
          </w:tcPr>
          <w:p>
            <w:pPr>
              <w:spacing w:after="40" w:before="40" w:line="252" w:lineRule="auto"/>
            </w:pPr>
            <w:r>
              <w:rPr>
                <w:sz w:val="18"/>
              </w:rPr>
              <w:t>Mover hacia una casilla ocupada equivale a DAÑAR: quince puntos a ambos tanques. El daño causado al otro se acredita a quien embiste.</w:t>
            </w:r>
          </w:p>
        </w:tc>
      </w:tr>
      <w:tr>
        <w:trPr>
          <w:cantSplit/>
        </w:trPr>
        <w:tc>
          <w:tcPr>
            <w:tcW w:type="dxa" w:w="1944"/>
          </w:tcPr>
          <w:p>
            <w:pPr>
              <w:spacing w:after="40" w:before="40" w:line="252" w:lineRule="auto"/>
            </w:pPr>
            <w:r>
              <w:rPr>
                <w:sz w:val="18"/>
              </w:rPr>
              <w:t>Restauración</w:t>
            </w:r>
          </w:p>
        </w:tc>
        <w:tc>
          <w:tcPr>
            <w:tcW w:type="dxa" w:w="7128"/>
          </w:tcPr>
          <w:p>
            <w:pPr>
              <w:spacing w:after="40" w:before="40" w:line="252" w:lineRule="auto"/>
            </w:pPr>
            <w:r>
              <w:rPr>
                <w:sz w:val="18"/>
              </w:rPr>
              <w:t>Recupera veinte puntos sin superar el máximo de cien. Un solo uso por partida.</w:t>
            </w:r>
          </w:p>
        </w:tc>
      </w:tr>
      <w:tr>
        <w:trPr>
          <w:cantSplit/>
        </w:trPr>
        <w:tc>
          <w:tcPr>
            <w:tcW w:type="dxa" w:w="1944"/>
            <w:shd w:val="clear" w:color="auto" w:fill="F2F2F2"/>
          </w:tcPr>
          <w:p>
            <w:pPr>
              <w:spacing w:after="40" w:before="40" w:line="252" w:lineRule="auto"/>
            </w:pPr>
            <w:r>
              <w:rPr>
                <w:sz w:val="18"/>
              </w:rPr>
              <w:t>Refacciones</w:t>
            </w:r>
          </w:p>
        </w:tc>
        <w:tc>
          <w:tcPr>
            <w:tcW w:type="dxa" w:w="7128"/>
            <w:shd w:val="clear" w:color="auto" w:fill="F2F2F2"/>
          </w:tcPr>
          <w:p>
            <w:pPr>
              <w:spacing w:after="40" w:before="40" w:line="252" w:lineRule="auto"/>
            </w:pPr>
            <w:r>
              <w:rPr>
                <w:sz w:val="18"/>
              </w:rPr>
              <w:t>Aparecen donde se destruye un tanque y se recogen al pisarlas; restituyen entre quince y veinticinco puntos.</w:t>
            </w:r>
          </w:p>
        </w:tc>
      </w:tr>
      <w:tr>
        <w:trPr>
          <w:cantSplit/>
        </w:trPr>
        <w:tc>
          <w:tcPr>
            <w:tcW w:type="dxa" w:w="1944"/>
          </w:tcPr>
          <w:p>
            <w:pPr>
              <w:keepNext/>
              <w:spacing w:after="40" w:before="40" w:line="252" w:lineRule="auto"/>
            </w:pPr>
            <w:r>
              <w:rPr>
                <w:sz w:val="18"/>
              </w:rPr>
              <w:t>Tanque destruido</w:t>
            </w:r>
          </w:p>
        </w:tc>
        <w:tc>
          <w:tcPr>
            <w:tcW w:type="dxa" w:w="7128"/>
          </w:tcPr>
          <w:p>
            <w:pPr>
              <w:keepNext/>
              <w:spacing w:after="40" w:before="40" w:line="252" w:lineRule="auto"/>
            </w:pPr>
            <w:r>
              <w:rPr>
                <w:sz w:val="18"/>
              </w:rPr>
              <w:t>Se retira del tablero. No deja obstáculo, por lo que no bloquea la línea del radar.</w:t>
            </w:r>
          </w:p>
        </w:tc>
      </w:tr>
    </w:tbl>
    <w:p>
      <w:pPr>
        <w:spacing w:after="40"/>
      </w:pPr>
    </w:p>
    <w:p>
      <w:pPr>
        <w:spacing w:after="240" w:before="40"/>
        <w:jc w:val="center"/>
      </w:pPr>
      <w:r>
        <w:rPr>
          <w:i/>
          <w:color w:val="555555"/>
          <w:sz w:val="18"/>
        </w:rPr>
        <w:t>Tabla 3. Decisiones de diseño adoptadas tras el primer reporte.</w:t>
      </w:r>
    </w:p>
    <w:p>
      <w:pPr>
        <w:keepNext/>
        <w:spacing w:before="260" w:after="100"/>
      </w:pPr>
      <w:r>
        <w:rPr>
          <w:rFonts w:ascii="Arial" w:hAnsi="Arial"/>
          <w:b/>
          <w:color w:val="2E74B5"/>
          <w:sz w:val="24"/>
        </w:rPr>
        <w:t>3.5  Daño ocasionado</w:t>
      </w:r>
    </w:p>
    <w:p>
      <w:pPr>
        <w:spacing w:after="140" w:before="0" w:line="276" w:lineRule="auto"/>
      </w:pPr>
      <w:r>
        <w:rPr>
          <w:b w:val="0"/>
          <w:i w:val="0"/>
          <w:color w:val="1A1A1A"/>
          <w:sz w:val="22"/>
        </w:rPr>
        <w:t>Los valores siguientes constituyen la configuración inicial y se ajustarán a partir de los resultados de las pruebas. La columna de acreditación es la que determina el desempate al término de la partida.</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68"/>
            <w:shd w:val="clear" w:color="auto" w:fill="1F5C3A"/>
          </w:tcPr>
          <w:p>
            <w:pPr>
              <w:spacing w:after="40" w:before="40"/>
            </w:pPr>
            <w:r>
              <w:rPr>
                <w:b/>
                <w:color w:val="FFFFFF"/>
                <w:sz w:val="19"/>
              </w:rPr>
              <w:t>Origen del daño</w:t>
            </w:r>
          </w:p>
        </w:tc>
        <w:tc>
          <w:tcPr>
            <w:tcW w:type="dxa" w:w="2160"/>
            <w:shd w:val="clear" w:color="auto" w:fill="1F5C3A"/>
          </w:tcPr>
          <w:p>
            <w:pPr>
              <w:spacing w:after="40" w:before="40"/>
            </w:pPr>
            <w:r>
              <w:rPr>
                <w:b/>
                <w:color w:val="FFFFFF"/>
                <w:sz w:val="19"/>
              </w:rPr>
              <w:t>Puntos</w:t>
            </w:r>
          </w:p>
        </w:tc>
        <w:tc>
          <w:tcPr>
            <w:tcW w:type="dxa" w:w="3744"/>
            <w:shd w:val="clear" w:color="auto" w:fill="1F5C3A"/>
          </w:tcPr>
          <w:p>
            <w:pPr>
              <w:spacing w:after="40" w:before="40"/>
            </w:pPr>
            <w:r>
              <w:rPr>
                <w:b/>
                <w:color w:val="FFFFFF"/>
                <w:sz w:val="19"/>
              </w:rPr>
              <w:t>Se acredita a</w:t>
            </w:r>
          </w:p>
        </w:tc>
      </w:tr>
      <w:tr>
        <w:trPr>
          <w:cantSplit/>
        </w:trPr>
        <w:tc>
          <w:tcPr>
            <w:tcW w:type="dxa" w:w="3168"/>
          </w:tcPr>
          <w:p>
            <w:pPr>
              <w:spacing w:after="40" w:before="40" w:line="252" w:lineRule="auto"/>
            </w:pPr>
            <w:r>
              <w:rPr>
                <w:sz w:val="19"/>
              </w:rPr>
              <w:t>Ametralladora</w:t>
            </w:r>
          </w:p>
        </w:tc>
        <w:tc>
          <w:tcPr>
            <w:tcW w:type="dxa" w:w="2160"/>
          </w:tcPr>
          <w:p>
            <w:pPr>
              <w:spacing w:after="40" w:before="40" w:line="252" w:lineRule="auto"/>
            </w:pPr>
            <w:r>
              <w:rPr>
                <w:b/>
                <w:sz w:val="19"/>
              </w:rPr>
              <w:t>10</w:t>
            </w:r>
          </w:p>
        </w:tc>
        <w:tc>
          <w:tcPr>
            <w:tcW w:type="dxa" w:w="3744"/>
          </w:tcPr>
          <w:p>
            <w:pPr>
              <w:spacing w:after="40" w:before="40" w:line="252" w:lineRule="auto"/>
            </w:pPr>
            <w:r>
              <w:rPr>
                <w:sz w:val="19"/>
              </w:rPr>
              <w:t>El tanque que dispara</w:t>
            </w:r>
          </w:p>
        </w:tc>
      </w:tr>
      <w:tr>
        <w:trPr>
          <w:cantSplit/>
        </w:trPr>
        <w:tc>
          <w:tcPr>
            <w:tcW w:type="dxa" w:w="3168"/>
            <w:shd w:val="clear" w:color="auto" w:fill="F2F2F2"/>
          </w:tcPr>
          <w:p>
            <w:pPr>
              <w:spacing w:after="40" w:before="40" w:line="252" w:lineRule="auto"/>
            </w:pPr>
            <w:r>
              <w:rPr>
                <w:sz w:val="19"/>
              </w:rPr>
              <w:t>Mina</w:t>
            </w:r>
          </w:p>
        </w:tc>
        <w:tc>
          <w:tcPr>
            <w:tcW w:type="dxa" w:w="2160"/>
            <w:shd w:val="clear" w:color="auto" w:fill="F2F2F2"/>
          </w:tcPr>
          <w:p>
            <w:pPr>
              <w:spacing w:after="40" w:before="40" w:line="252" w:lineRule="auto"/>
            </w:pPr>
            <w:r>
              <w:rPr>
                <w:b/>
                <w:sz w:val="19"/>
              </w:rPr>
              <w:t>25</w:t>
            </w:r>
          </w:p>
        </w:tc>
        <w:tc>
          <w:tcPr>
            <w:tcW w:type="dxa" w:w="3744"/>
            <w:shd w:val="clear" w:color="auto" w:fill="F2F2F2"/>
          </w:tcPr>
          <w:p>
            <w:pPr>
              <w:spacing w:after="40" w:before="40" w:line="252" w:lineRule="auto"/>
            </w:pPr>
            <w:r>
              <w:rPr>
                <w:sz w:val="19"/>
              </w:rPr>
              <w:t>El tanque que la colocó</w:t>
            </w:r>
          </w:p>
        </w:tc>
      </w:tr>
      <w:tr>
        <w:trPr>
          <w:cantSplit/>
        </w:trPr>
        <w:tc>
          <w:tcPr>
            <w:tcW w:type="dxa" w:w="3168"/>
          </w:tcPr>
          <w:p>
            <w:pPr>
              <w:spacing w:after="40" w:before="40" w:line="252" w:lineRule="auto"/>
            </w:pPr>
            <w:r>
              <w:rPr>
                <w:sz w:val="19"/>
              </w:rPr>
              <w:t>Misil</w:t>
            </w:r>
          </w:p>
        </w:tc>
        <w:tc>
          <w:tcPr>
            <w:tcW w:type="dxa" w:w="2160"/>
          </w:tcPr>
          <w:p>
            <w:pPr>
              <w:spacing w:after="40" w:before="40" w:line="252" w:lineRule="auto"/>
            </w:pPr>
            <w:r>
              <w:rPr>
                <w:b/>
                <w:sz w:val="19"/>
              </w:rPr>
              <w:t>30</w:t>
            </w:r>
          </w:p>
        </w:tc>
        <w:tc>
          <w:tcPr>
            <w:tcW w:type="dxa" w:w="3744"/>
          </w:tcPr>
          <w:p>
            <w:pPr>
              <w:spacing w:after="40" w:before="40" w:line="252" w:lineRule="auto"/>
            </w:pPr>
            <w:r>
              <w:rPr>
                <w:sz w:val="19"/>
              </w:rPr>
              <w:t>El tanque que lo lanza</w:t>
            </w:r>
          </w:p>
        </w:tc>
      </w:tr>
      <w:tr>
        <w:trPr>
          <w:cantSplit/>
        </w:trPr>
        <w:tc>
          <w:tcPr>
            <w:tcW w:type="dxa" w:w="3168"/>
            <w:shd w:val="clear" w:color="auto" w:fill="F2F2F2"/>
          </w:tcPr>
          <w:p>
            <w:pPr>
              <w:spacing w:after="40" w:before="40" w:line="252" w:lineRule="auto"/>
            </w:pPr>
            <w:r>
              <w:rPr>
                <w:sz w:val="19"/>
              </w:rPr>
              <w:t>Choque entre tanques</w:t>
            </w:r>
          </w:p>
        </w:tc>
        <w:tc>
          <w:tcPr>
            <w:tcW w:type="dxa" w:w="2160"/>
            <w:shd w:val="clear" w:color="auto" w:fill="F2F2F2"/>
          </w:tcPr>
          <w:p>
            <w:pPr>
              <w:spacing w:after="40" w:before="40" w:line="252" w:lineRule="auto"/>
            </w:pPr>
            <w:r>
              <w:rPr>
                <w:b/>
                <w:sz w:val="19"/>
              </w:rPr>
              <w:t>15 a cada uno</w:t>
            </w:r>
          </w:p>
        </w:tc>
        <w:tc>
          <w:tcPr>
            <w:tcW w:type="dxa" w:w="3744"/>
            <w:shd w:val="clear" w:color="auto" w:fill="F2F2F2"/>
          </w:tcPr>
          <w:p>
            <w:pPr>
              <w:spacing w:after="40" w:before="40" w:line="252" w:lineRule="auto"/>
            </w:pPr>
            <w:r>
              <w:rPr>
                <w:sz w:val="19"/>
              </w:rPr>
              <w:t>El tanque que embiste</w:t>
            </w:r>
          </w:p>
        </w:tc>
      </w:tr>
      <w:tr>
        <w:trPr>
          <w:cantSplit/>
        </w:trPr>
        <w:tc>
          <w:tcPr>
            <w:tcW w:type="dxa" w:w="3168"/>
          </w:tcPr>
          <w:p>
            <w:pPr>
              <w:keepNext/>
              <w:spacing w:after="40" w:before="40" w:line="252" w:lineRule="auto"/>
            </w:pPr>
            <w:r>
              <w:rPr>
                <w:sz w:val="19"/>
              </w:rPr>
              <w:t>Choque contra la pared</w:t>
            </w:r>
          </w:p>
        </w:tc>
        <w:tc>
          <w:tcPr>
            <w:tcW w:type="dxa" w:w="2160"/>
          </w:tcPr>
          <w:p>
            <w:pPr>
              <w:keepNext/>
              <w:spacing w:after="40" w:before="40" w:line="252" w:lineRule="auto"/>
            </w:pPr>
            <w:r>
              <w:rPr>
                <w:b/>
                <w:sz w:val="19"/>
              </w:rPr>
              <w:t>5</w:t>
            </w:r>
          </w:p>
        </w:tc>
        <w:tc>
          <w:tcPr>
            <w:tcW w:type="dxa" w:w="3744"/>
          </w:tcPr>
          <w:p>
            <w:pPr>
              <w:keepNext/>
              <w:spacing w:after="40" w:before="40" w:line="252" w:lineRule="auto"/>
            </w:pPr>
            <w:r>
              <w:rPr>
                <w:sz w:val="19"/>
              </w:rPr>
              <w:t>No se acredita a nadie</w:t>
            </w:r>
          </w:p>
        </w:tc>
      </w:tr>
    </w:tbl>
    <w:p>
      <w:pPr>
        <w:spacing w:after="40"/>
      </w:pPr>
    </w:p>
    <w:p>
      <w:pPr>
        <w:spacing w:after="240" w:before="40"/>
        <w:jc w:val="center"/>
      </w:pPr>
      <w:r>
        <w:rPr>
          <w:i/>
          <w:color w:val="555555"/>
          <w:sz w:val="18"/>
        </w:rPr>
        <w:t>Tabla 4. Porcentajes de daño y acreditación para el desempate.</w:t>
      </w:r>
    </w:p>
    <w:p>
      <w:pPr>
        <w:spacing w:after="140" w:before="0" w:line="276" w:lineRule="auto"/>
      </w:pPr>
      <w:r>
        <w:rPr>
          <w:b w:val="0"/>
          <w:i w:val="0"/>
          <w:color w:val="1A1A1A"/>
          <w:sz w:val="22"/>
        </w:rPr>
        <w:t>La recuperación de vida, ya sea por restauración o por recolección de refacciones, no reduce el daño infligido contabilizado con anterioridad.</w:t>
      </w:r>
    </w:p>
    <w:p>
      <w:pPr>
        <w:keepNext/>
        <w:spacing w:before="400" w:after="160"/>
      </w:pPr>
      <w:r>
        <w:rPr>
          <w:rFonts w:ascii="Arial" w:hAnsi="Arial"/>
          <w:b/>
          <w:color w:val="1F5C3A"/>
          <w:sz w:val="28"/>
        </w:rPr>
        <w:t>4.  Lenguaje de instrucciones</w:t>
      </w:r>
    </w:p>
    <w:p>
      <w:pPr>
        <w:keepNext/>
        <w:spacing w:before="260" w:after="100"/>
      </w:pPr>
      <w:r>
        <w:rPr>
          <w:rFonts w:ascii="Arial" w:hAnsi="Arial"/>
          <w:b/>
          <w:color w:val="2E74B5"/>
          <w:sz w:val="24"/>
        </w:rPr>
        <w:t>4.1  Gramática</w:t>
      </w:r>
    </w:p>
    <w:p>
      <w:pPr>
        <w:spacing w:after="0" w:line="240" w:lineRule="auto"/>
        <w:ind w:left="317"/>
        <w:shd w:val="clear" w:color="auto" w:fill="F5F5F5"/>
      </w:pPr>
      <w:r>
        <w:rPr>
          <w:rFonts w:ascii="Consolas" w:hAnsi="Consolas"/>
          <w:color w:val="1A1A1A"/>
          <w:sz w:val="17"/>
        </w:rPr>
        <w:t>instruccion := MOV(d) | AMT(d) | RADAR(d) | DAÑAR(d)</w:t>
      </w:r>
    </w:p>
    <w:p>
      <w:pPr>
        <w:spacing w:after="0" w:line="240" w:lineRule="auto"/>
        <w:ind w:left="317"/>
        <w:shd w:val="clear" w:color="auto" w:fill="F5F5F5"/>
      </w:pPr>
      <w:r>
        <w:rPr>
          <w:rFonts w:ascii="Consolas" w:hAnsi="Consolas"/>
          <w:color w:val="1A1A1A"/>
          <w:sz w:val="17"/>
        </w:rPr>
        <w:t xml:space="preserve">             | MISIL(x, y) | MINA | ESCUDO | RESTAURAR | ESPERAR</w:t>
      </w:r>
    </w:p>
    <w:p>
      <w:pPr>
        <w:spacing w:after="0" w:line="240" w:lineRule="auto"/>
        <w:ind w:left="317"/>
        <w:shd w:val="clear" w:color="auto" w:fill="F5F5F5"/>
      </w:pPr>
      <w:r>
        <w:rPr>
          <w:rFonts w:ascii="Consolas" w:hAnsi="Consolas"/>
          <w:color w:val="1A1A1A"/>
          <w:sz w:val="17"/>
        </w:rPr>
        <w:t xml:space="preserve">             | IF condicion THEN accion</w:t>
      </w:r>
    </w:p>
    <w:p>
      <w:pPr>
        <w:spacing w:after="0" w:line="240" w:lineRule="auto"/>
        <w:ind w:left="317"/>
        <w:shd w:val="clear" w:color="auto" w:fill="F5F5F5"/>
      </w:pPr>
      <w:r>
        <w:rPr>
          <w:rFonts w:ascii="Consolas" w:hAnsi="Consolas"/>
          <w:color w:val="1A1A1A"/>
          <w:sz w:val="17"/>
        </w:rPr>
        <w:t xml:space="preserve"> </w:t>
      </w:r>
    </w:p>
    <w:p>
      <w:pPr>
        <w:spacing w:after="0" w:line="240" w:lineRule="auto"/>
        <w:ind w:left="317"/>
        <w:shd w:val="clear" w:color="auto" w:fill="F5F5F5"/>
      </w:pPr>
      <w:r>
        <w:rPr>
          <w:rFonts w:ascii="Consolas" w:hAnsi="Consolas"/>
          <w:color w:val="1A1A1A"/>
          <w:sz w:val="17"/>
        </w:rPr>
        <w:t>condicion   := RADAR(d) cmp entero  |  VIDA cmp entero</w:t>
      </w:r>
    </w:p>
    <w:p>
      <w:pPr>
        <w:spacing w:after="0" w:line="240" w:lineRule="auto"/>
        <w:ind w:left="317"/>
        <w:shd w:val="clear" w:color="auto" w:fill="F5F5F5"/>
      </w:pPr>
      <w:r>
        <w:rPr>
          <w:rFonts w:ascii="Consolas" w:hAnsi="Consolas"/>
          <w:color w:val="1A1A1A"/>
          <w:sz w:val="17"/>
        </w:rPr>
        <w:t>accion      := AMT(d) | MISIL(x, y) | ESCUDO | RESTAURAR</w:t>
      </w:r>
    </w:p>
    <w:p>
      <w:pPr>
        <w:spacing w:after="0" w:line="240" w:lineRule="auto"/>
        <w:ind w:left="317"/>
        <w:shd w:val="clear" w:color="auto" w:fill="F5F5F5"/>
      </w:pPr>
      <w:r>
        <w:rPr>
          <w:rFonts w:ascii="Consolas" w:hAnsi="Consolas"/>
          <w:color w:val="1A1A1A"/>
          <w:sz w:val="17"/>
        </w:rPr>
        <w:t xml:space="preserve"> </w:t>
      </w:r>
    </w:p>
    <w:p>
      <w:pPr>
        <w:spacing w:after="0" w:line="240" w:lineRule="auto"/>
        <w:ind w:left="317"/>
        <w:shd w:val="clear" w:color="auto" w:fill="F5F5F5"/>
      </w:pPr>
      <w:r>
        <w:rPr>
          <w:rFonts w:ascii="Consolas" w:hAnsi="Consolas"/>
          <w:color w:val="1A1A1A"/>
          <w:sz w:val="17"/>
        </w:rPr>
        <w:t>d           := N | S | E | O</w:t>
      </w:r>
    </w:p>
    <w:p>
      <w:pPr>
        <w:spacing w:after="200" w:line="240" w:lineRule="auto"/>
        <w:ind w:left="317"/>
        <w:shd w:val="clear" w:color="auto" w:fill="F5F5F5"/>
      </w:pPr>
      <w:r>
        <w:rPr>
          <w:rFonts w:ascii="Consolas" w:hAnsi="Consolas"/>
          <w:color w:val="1A1A1A"/>
          <w:sz w:val="17"/>
        </w:rPr>
        <w:t>cmp         := &gt;  |  &lt;  |  &gt;=  |  &lt;=  |  ==</w:t>
      </w:r>
    </w:p>
    <w:p>
      <w:pPr>
        <w:keepNext/>
        <w:spacing w:before="260" w:after="100"/>
      </w:pPr>
      <w:r>
        <w:rPr>
          <w:rFonts w:ascii="Arial" w:hAnsi="Arial"/>
          <w:b/>
          <w:color w:val="2E74B5"/>
          <w:sz w:val="24"/>
        </w:rPr>
        <w:t>4.2  Conjunto de instrucciones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1656"/>
            <w:shd w:val="clear" w:color="auto" w:fill="1F5C3A"/>
          </w:tcPr>
          <w:p>
            <w:pPr>
              <w:spacing w:after="40" w:before="40"/>
            </w:pPr>
            <w:r>
              <w:rPr>
                <w:b/>
                <w:color w:val="FFFFFF"/>
                <w:sz w:val="17"/>
              </w:rPr>
              <w:t>Instrucción</w:t>
            </w:r>
          </w:p>
        </w:tc>
        <w:tc>
          <w:tcPr>
            <w:tcW w:type="dxa" w:w="1368"/>
            <w:shd w:val="clear" w:color="auto" w:fill="1F5C3A"/>
          </w:tcPr>
          <w:p>
            <w:pPr>
              <w:spacing w:after="40" w:before="40"/>
            </w:pPr>
            <w:r>
              <w:rPr>
                <w:b/>
                <w:color w:val="FFFFFF"/>
                <w:sz w:val="17"/>
              </w:rPr>
              <w:t>Parámetros</w:t>
            </w:r>
          </w:p>
        </w:tc>
        <w:tc>
          <w:tcPr>
            <w:tcW w:type="dxa" w:w="2664"/>
            <w:shd w:val="clear" w:color="auto" w:fill="1F5C3A"/>
          </w:tcPr>
          <w:p>
            <w:pPr>
              <w:spacing w:after="40" w:before="40"/>
            </w:pPr>
            <w:r>
              <w:rPr>
                <w:b/>
                <w:color w:val="FFFFFF"/>
                <w:sz w:val="17"/>
              </w:rPr>
              <w:t>Condición de ejecución</w:t>
            </w:r>
          </w:p>
        </w:tc>
        <w:tc>
          <w:tcPr>
            <w:tcW w:type="dxa" w:w="3384"/>
            <w:shd w:val="clear" w:color="auto" w:fill="1F5C3A"/>
          </w:tcPr>
          <w:p>
            <w:pPr>
              <w:spacing w:after="40" w:before="40"/>
            </w:pPr>
            <w:r>
              <w:rPr>
                <w:b/>
                <w:color w:val="FFFFFF"/>
                <w:sz w:val="17"/>
              </w:rPr>
              <w:t>Resultado</w:t>
            </w:r>
          </w:p>
        </w:tc>
      </w:tr>
      <w:tr>
        <w:trPr>
          <w:cantSplit/>
        </w:trPr>
        <w:tc>
          <w:tcPr>
            <w:tcW w:type="dxa" w:w="1656"/>
          </w:tcPr>
          <w:p>
            <w:pPr>
              <w:spacing w:after="40" w:before="40" w:line="252" w:lineRule="auto"/>
            </w:pPr>
            <w:r>
              <w:rPr>
                <w:rFonts w:ascii="Consolas" w:hAnsi="Consolas"/>
                <w:sz w:val="15"/>
              </w:rPr>
              <w:t>MOV(dir)</w:t>
            </w:r>
          </w:p>
        </w:tc>
        <w:tc>
          <w:tcPr>
            <w:tcW w:type="dxa" w:w="1368"/>
          </w:tcPr>
          <w:p>
            <w:pPr>
              <w:spacing w:after="40" w:before="40" w:line="252" w:lineRule="auto"/>
            </w:pPr>
            <w:r>
              <w:rPr>
                <w:sz w:val="17"/>
              </w:rPr>
              <w:t>dirección</w:t>
            </w:r>
          </w:p>
        </w:tc>
        <w:tc>
          <w:tcPr>
            <w:tcW w:type="dxa" w:w="2664"/>
          </w:tcPr>
          <w:p>
            <w:pPr>
              <w:spacing w:after="40" w:before="40" w:line="252" w:lineRule="auto"/>
            </w:pPr>
            <w:r>
              <w:rPr>
                <w:sz w:val="17"/>
              </w:rPr>
              <w:t>La casilla destino debe estar dentro del tablero y libre.</w:t>
            </w:r>
          </w:p>
        </w:tc>
        <w:tc>
          <w:tcPr>
            <w:tcW w:type="dxa" w:w="3384"/>
          </w:tcPr>
          <w:p>
            <w:pPr>
              <w:spacing w:after="40" w:before="40" w:line="252" w:lineRule="auto"/>
            </w:pPr>
            <w:r>
              <w:rPr>
                <w:sz w:val="17"/>
              </w:rPr>
              <w:t>Avanza una casilla. Con pared sufre 5 puntos; con un tanque, choque de 15 a ambos.</w:t>
            </w:r>
          </w:p>
        </w:tc>
      </w:tr>
      <w:tr>
        <w:trPr>
          <w:cantSplit/>
        </w:trPr>
        <w:tc>
          <w:tcPr>
            <w:tcW w:type="dxa" w:w="1656"/>
            <w:shd w:val="clear" w:color="auto" w:fill="F2F2F2"/>
          </w:tcPr>
          <w:p>
            <w:pPr>
              <w:spacing w:after="40" w:before="40" w:line="252" w:lineRule="auto"/>
            </w:pPr>
            <w:r>
              <w:rPr>
                <w:rFonts w:ascii="Consolas" w:hAnsi="Consolas"/>
                <w:sz w:val="15"/>
              </w:rPr>
              <w:t>AMT(dir)</w:t>
            </w:r>
          </w:p>
        </w:tc>
        <w:tc>
          <w:tcPr>
            <w:tcW w:type="dxa" w:w="1368"/>
            <w:shd w:val="clear" w:color="auto" w:fill="F2F2F2"/>
          </w:tcPr>
          <w:p>
            <w:pPr>
              <w:spacing w:after="40" w:before="40" w:line="252" w:lineRule="auto"/>
            </w:pPr>
            <w:r>
              <w:rPr>
                <w:sz w:val="17"/>
              </w:rPr>
              <w:t>dirección</w:t>
            </w:r>
          </w:p>
        </w:tc>
        <w:tc>
          <w:tcPr>
            <w:tcW w:type="dxa" w:w="2664"/>
            <w:shd w:val="clear" w:color="auto" w:fill="F2F2F2"/>
          </w:tcPr>
          <w:p>
            <w:pPr>
              <w:spacing w:after="40" w:before="40" w:line="252" w:lineRule="auto"/>
            </w:pPr>
            <w:r>
              <w:rPr>
                <w:sz w:val="17"/>
              </w:rPr>
              <w:t>Debe existir un enemigo en la línea indicada.</w:t>
            </w:r>
          </w:p>
        </w:tc>
        <w:tc>
          <w:tcPr>
            <w:tcW w:type="dxa" w:w="3384"/>
            <w:shd w:val="clear" w:color="auto" w:fill="F2F2F2"/>
          </w:tcPr>
          <w:p>
            <w:pPr>
              <w:spacing w:after="40" w:before="40" w:line="252" w:lineRule="auto"/>
            </w:pPr>
            <w:r>
              <w:rPr>
                <w:sz w:val="17"/>
              </w:rPr>
              <w:t>Ocasiona 10 puntos al primer enemigo de esa dirección. Munición ilimitada.</w:t>
            </w:r>
          </w:p>
        </w:tc>
      </w:tr>
      <w:tr>
        <w:trPr>
          <w:cantSplit/>
        </w:trPr>
        <w:tc>
          <w:tcPr>
            <w:tcW w:type="dxa" w:w="1656"/>
          </w:tcPr>
          <w:p>
            <w:pPr>
              <w:spacing w:after="40" w:before="40" w:line="252" w:lineRule="auto"/>
            </w:pPr>
            <w:r>
              <w:rPr>
                <w:rFonts w:ascii="Consolas" w:hAnsi="Consolas"/>
                <w:sz w:val="15"/>
              </w:rPr>
              <w:t>MISIL(x, y)</w:t>
            </w:r>
          </w:p>
        </w:tc>
        <w:tc>
          <w:tcPr>
            <w:tcW w:type="dxa" w:w="1368"/>
          </w:tcPr>
          <w:p>
            <w:pPr>
              <w:spacing w:after="40" w:before="40" w:line="252" w:lineRule="auto"/>
            </w:pPr>
            <w:r>
              <w:rPr>
                <w:sz w:val="17"/>
              </w:rPr>
              <w:t>coordenada</w:t>
            </w:r>
          </w:p>
        </w:tc>
        <w:tc>
          <w:tcPr>
            <w:tcW w:type="dxa" w:w="2664"/>
          </w:tcPr>
          <w:p>
            <w:pPr>
              <w:spacing w:after="40" w:before="40" w:line="252" w:lineRule="auto"/>
            </w:pPr>
            <w:r>
              <w:rPr>
                <w:sz w:val="17"/>
              </w:rPr>
              <w:t>Debe quedar munición disponible.</w:t>
            </w:r>
          </w:p>
        </w:tc>
        <w:tc>
          <w:tcPr>
            <w:tcW w:type="dxa" w:w="3384"/>
          </w:tcPr>
          <w:p>
            <w:pPr>
              <w:spacing w:after="40" w:before="40" w:line="252" w:lineRule="auto"/>
            </w:pPr>
            <w:r>
              <w:rPr>
                <w:sz w:val="17"/>
              </w:rPr>
              <w:t>Ocasiona 30 puntos al tanque situado en la coordenada. Tres por partida.</w:t>
            </w:r>
          </w:p>
        </w:tc>
      </w:tr>
      <w:tr>
        <w:trPr>
          <w:cantSplit/>
        </w:trPr>
        <w:tc>
          <w:tcPr>
            <w:tcW w:type="dxa" w:w="1656"/>
            <w:shd w:val="clear" w:color="auto" w:fill="F2F2F2"/>
          </w:tcPr>
          <w:p>
            <w:pPr>
              <w:spacing w:after="40" w:before="40" w:line="252" w:lineRule="auto"/>
            </w:pPr>
            <w:r>
              <w:rPr>
                <w:rFonts w:ascii="Consolas" w:hAnsi="Consolas"/>
                <w:sz w:val="15"/>
              </w:rPr>
              <w:t>MINA</w:t>
            </w:r>
          </w:p>
        </w:tc>
        <w:tc>
          <w:tcPr>
            <w:tcW w:type="dxa" w:w="1368"/>
            <w:shd w:val="clear" w:color="auto" w:fill="F2F2F2"/>
          </w:tcPr>
          <w:p>
            <w:pPr>
              <w:spacing w:after="40" w:before="40" w:line="252" w:lineRule="auto"/>
            </w:pPr>
            <w:r>
              <w:rPr>
                <w:sz w:val="17"/>
              </w:rPr>
              <w:t>—</w:t>
            </w:r>
          </w:p>
        </w:tc>
        <w:tc>
          <w:tcPr>
            <w:tcW w:type="dxa" w:w="2664"/>
            <w:shd w:val="clear" w:color="auto" w:fill="F2F2F2"/>
          </w:tcPr>
          <w:p>
            <w:pPr>
              <w:spacing w:after="40" w:before="40" w:line="252" w:lineRule="auto"/>
            </w:pPr>
            <w:r>
              <w:rPr>
                <w:sz w:val="17"/>
              </w:rPr>
              <w:t>Debe quedar munición y la casilla no debe contener otra mina.</w:t>
            </w:r>
          </w:p>
        </w:tc>
        <w:tc>
          <w:tcPr>
            <w:tcW w:type="dxa" w:w="3384"/>
            <w:shd w:val="clear" w:color="auto" w:fill="F2F2F2"/>
          </w:tcPr>
          <w:p>
            <w:pPr>
              <w:spacing w:after="40" w:before="40" w:line="252" w:lineRule="auto"/>
            </w:pPr>
            <w:r>
              <w:rPr>
                <w:sz w:val="17"/>
              </w:rPr>
              <w:t>Coloca una mina que se arma dos turnos después y ocasiona 25 puntos. Tres por partida.</w:t>
            </w:r>
          </w:p>
        </w:tc>
      </w:tr>
      <w:tr>
        <w:trPr>
          <w:cantSplit/>
        </w:trPr>
        <w:tc>
          <w:tcPr>
            <w:tcW w:type="dxa" w:w="1656"/>
          </w:tcPr>
          <w:p>
            <w:pPr>
              <w:spacing w:after="40" w:before="40" w:line="252" w:lineRule="auto"/>
            </w:pPr>
            <w:r>
              <w:rPr>
                <w:rFonts w:ascii="Consolas" w:hAnsi="Consolas"/>
                <w:sz w:val="15"/>
              </w:rPr>
              <w:t>DAÑAR(dir)</w:t>
            </w:r>
          </w:p>
        </w:tc>
        <w:tc>
          <w:tcPr>
            <w:tcW w:type="dxa" w:w="1368"/>
          </w:tcPr>
          <w:p>
            <w:pPr>
              <w:spacing w:after="40" w:before="40" w:line="252" w:lineRule="auto"/>
            </w:pPr>
            <w:r>
              <w:rPr>
                <w:sz w:val="17"/>
              </w:rPr>
              <w:t>dirección</w:t>
            </w:r>
          </w:p>
        </w:tc>
        <w:tc>
          <w:tcPr>
            <w:tcW w:type="dxa" w:w="2664"/>
          </w:tcPr>
          <w:p>
            <w:pPr>
              <w:spacing w:after="40" w:before="40" w:line="252" w:lineRule="auto"/>
            </w:pPr>
            <w:r>
              <w:rPr>
                <w:sz w:val="17"/>
              </w:rPr>
              <w:t>Debe haber un tanque en la casilla contigua.</w:t>
            </w:r>
          </w:p>
        </w:tc>
        <w:tc>
          <w:tcPr>
            <w:tcW w:type="dxa" w:w="3384"/>
          </w:tcPr>
          <w:p>
            <w:pPr>
              <w:spacing w:after="40" w:before="40" w:line="252" w:lineRule="auto"/>
            </w:pPr>
            <w:r>
              <w:rPr>
                <w:sz w:val="17"/>
              </w:rPr>
              <w:t>Embiste al tanque adyacente. Ambos reciben 15 puntos y no cambian de posición.</w:t>
            </w:r>
          </w:p>
        </w:tc>
      </w:tr>
      <w:tr>
        <w:trPr>
          <w:cantSplit/>
        </w:trPr>
        <w:tc>
          <w:tcPr>
            <w:tcW w:type="dxa" w:w="1656"/>
            <w:shd w:val="clear" w:color="auto" w:fill="F2F2F2"/>
          </w:tcPr>
          <w:p>
            <w:pPr>
              <w:spacing w:after="40" w:before="40" w:line="252" w:lineRule="auto"/>
            </w:pPr>
            <w:r>
              <w:rPr>
                <w:rFonts w:ascii="Consolas" w:hAnsi="Consolas"/>
                <w:sz w:val="15"/>
              </w:rPr>
              <w:t>ESCUDO</w:t>
            </w:r>
          </w:p>
        </w:tc>
        <w:tc>
          <w:tcPr>
            <w:tcW w:type="dxa" w:w="1368"/>
            <w:shd w:val="clear" w:color="auto" w:fill="F2F2F2"/>
          </w:tcPr>
          <w:p>
            <w:pPr>
              <w:spacing w:after="40" w:before="40" w:line="252" w:lineRule="auto"/>
            </w:pPr>
            <w:r>
              <w:rPr>
                <w:sz w:val="17"/>
              </w:rPr>
              <w:t>—</w:t>
            </w:r>
          </w:p>
        </w:tc>
        <w:tc>
          <w:tcPr>
            <w:tcW w:type="dxa" w:w="2664"/>
            <w:shd w:val="clear" w:color="auto" w:fill="F2F2F2"/>
          </w:tcPr>
          <w:p>
            <w:pPr>
              <w:spacing w:after="40" w:before="40" w:line="252" w:lineRule="auto"/>
            </w:pPr>
            <w:r>
              <w:rPr>
                <w:sz w:val="17"/>
              </w:rPr>
              <w:t>Ninguna.</w:t>
            </w:r>
          </w:p>
        </w:tc>
        <w:tc>
          <w:tcPr>
            <w:tcW w:type="dxa" w:w="3384"/>
            <w:shd w:val="clear" w:color="auto" w:fill="F2F2F2"/>
          </w:tcPr>
          <w:p>
            <w:pPr>
              <w:spacing w:after="40" w:before="40" w:line="252" w:lineRule="auto"/>
            </w:pPr>
            <w:r>
              <w:rPr>
                <w:sz w:val="17"/>
              </w:rPr>
              <w:t>Otorga inmunidad frente a los ataques hasta el siguiente turno del tanque.</w:t>
            </w:r>
          </w:p>
        </w:tc>
      </w:tr>
      <w:tr>
        <w:trPr>
          <w:cantSplit/>
        </w:trPr>
        <w:tc>
          <w:tcPr>
            <w:tcW w:type="dxa" w:w="1656"/>
          </w:tcPr>
          <w:p>
            <w:pPr>
              <w:spacing w:after="40" w:before="40" w:line="252" w:lineRule="auto"/>
            </w:pPr>
            <w:r>
              <w:rPr>
                <w:rFonts w:ascii="Consolas" w:hAnsi="Consolas"/>
                <w:sz w:val="15"/>
              </w:rPr>
              <w:t>RESTAURAR</w:t>
            </w:r>
          </w:p>
        </w:tc>
        <w:tc>
          <w:tcPr>
            <w:tcW w:type="dxa" w:w="1368"/>
          </w:tcPr>
          <w:p>
            <w:pPr>
              <w:spacing w:after="40" w:before="40" w:line="252" w:lineRule="auto"/>
            </w:pPr>
            <w:r>
              <w:rPr>
                <w:sz w:val="17"/>
              </w:rPr>
              <w:t>—</w:t>
            </w:r>
          </w:p>
        </w:tc>
        <w:tc>
          <w:tcPr>
            <w:tcW w:type="dxa" w:w="2664"/>
          </w:tcPr>
          <w:p>
            <w:pPr>
              <w:spacing w:after="40" w:before="40" w:line="252" w:lineRule="auto"/>
            </w:pPr>
            <w:r>
              <w:rPr>
                <w:sz w:val="17"/>
              </w:rPr>
              <w:t>No haber empleado antes la restauración.</w:t>
            </w:r>
          </w:p>
        </w:tc>
        <w:tc>
          <w:tcPr>
            <w:tcW w:type="dxa" w:w="3384"/>
          </w:tcPr>
          <w:p>
            <w:pPr>
              <w:spacing w:after="40" w:before="40" w:line="252" w:lineRule="auto"/>
            </w:pPr>
            <w:r>
              <w:rPr>
                <w:sz w:val="17"/>
              </w:rPr>
              <w:t>Recupera 20 puntos de vida. Un solo uso por partida.</w:t>
            </w:r>
          </w:p>
        </w:tc>
      </w:tr>
      <w:tr>
        <w:trPr>
          <w:cantSplit/>
        </w:trPr>
        <w:tc>
          <w:tcPr>
            <w:tcW w:type="dxa" w:w="1656"/>
            <w:shd w:val="clear" w:color="auto" w:fill="F2F2F2"/>
          </w:tcPr>
          <w:p>
            <w:pPr>
              <w:spacing w:after="40" w:before="40" w:line="252" w:lineRule="auto"/>
            </w:pPr>
            <w:r>
              <w:rPr>
                <w:rFonts w:ascii="Consolas" w:hAnsi="Consolas"/>
                <w:sz w:val="15"/>
              </w:rPr>
              <w:t>RADAR(dir)</w:t>
            </w:r>
          </w:p>
        </w:tc>
        <w:tc>
          <w:tcPr>
            <w:tcW w:type="dxa" w:w="1368"/>
            <w:shd w:val="clear" w:color="auto" w:fill="F2F2F2"/>
          </w:tcPr>
          <w:p>
            <w:pPr>
              <w:spacing w:after="40" w:before="40" w:line="252" w:lineRule="auto"/>
            </w:pPr>
            <w:r>
              <w:rPr>
                <w:sz w:val="17"/>
              </w:rPr>
              <w:t>dirección</w:t>
            </w:r>
          </w:p>
        </w:tc>
        <w:tc>
          <w:tcPr>
            <w:tcW w:type="dxa" w:w="2664"/>
            <w:shd w:val="clear" w:color="auto" w:fill="F2F2F2"/>
          </w:tcPr>
          <w:p>
            <w:pPr>
              <w:spacing w:after="40" w:before="40" w:line="252" w:lineRule="auto"/>
            </w:pPr>
            <w:r>
              <w:rPr>
                <w:sz w:val="17"/>
              </w:rPr>
              <w:t>Ninguna.</w:t>
            </w:r>
          </w:p>
        </w:tc>
        <w:tc>
          <w:tcPr>
            <w:tcW w:type="dxa" w:w="3384"/>
            <w:shd w:val="clear" w:color="auto" w:fill="F2F2F2"/>
          </w:tcPr>
          <w:p>
            <w:pPr>
              <w:spacing w:after="40" w:before="40" w:line="252" w:lineRule="auto"/>
            </w:pPr>
            <w:r>
              <w:rPr>
                <w:sz w:val="17"/>
              </w:rPr>
              <w:t>Devuelve la distancia al primer elemento: positiva si es enemigo, negativa si es pared.</w:t>
            </w:r>
          </w:p>
        </w:tc>
      </w:tr>
      <w:tr>
        <w:trPr>
          <w:cantSplit/>
        </w:trPr>
        <w:tc>
          <w:tcPr>
            <w:tcW w:type="dxa" w:w="1656"/>
          </w:tcPr>
          <w:p>
            <w:pPr>
              <w:spacing w:after="40" w:before="40" w:line="252" w:lineRule="auto"/>
            </w:pPr>
            <w:r>
              <w:rPr>
                <w:rFonts w:ascii="Consolas" w:hAnsi="Consolas"/>
                <w:sz w:val="15"/>
              </w:rPr>
              <w:t>ESPERAR</w:t>
            </w:r>
          </w:p>
        </w:tc>
        <w:tc>
          <w:tcPr>
            <w:tcW w:type="dxa" w:w="1368"/>
          </w:tcPr>
          <w:p>
            <w:pPr>
              <w:spacing w:after="40" w:before="40" w:line="252" w:lineRule="auto"/>
            </w:pPr>
            <w:r>
              <w:rPr>
                <w:sz w:val="17"/>
              </w:rPr>
              <w:t>—</w:t>
            </w:r>
          </w:p>
        </w:tc>
        <w:tc>
          <w:tcPr>
            <w:tcW w:type="dxa" w:w="2664"/>
          </w:tcPr>
          <w:p>
            <w:pPr>
              <w:spacing w:after="40" w:before="40" w:line="252" w:lineRule="auto"/>
            </w:pPr>
            <w:r>
              <w:rPr>
                <w:sz w:val="17"/>
              </w:rPr>
              <w:t>Ninguna.</w:t>
            </w:r>
          </w:p>
        </w:tc>
        <w:tc>
          <w:tcPr>
            <w:tcW w:type="dxa" w:w="3384"/>
          </w:tcPr>
          <w:p>
            <w:pPr>
              <w:spacing w:after="40" w:before="40" w:line="252" w:lineRule="auto"/>
            </w:pPr>
            <w:r>
              <w:rPr>
                <w:sz w:val="17"/>
              </w:rPr>
              <w:t>No produce efecto alguno y cede el turno.</w:t>
            </w:r>
          </w:p>
        </w:tc>
      </w:tr>
      <w:tr>
        <w:trPr>
          <w:cantSplit/>
        </w:trPr>
        <w:tc>
          <w:tcPr>
            <w:tcW w:type="dxa" w:w="1656"/>
            <w:shd w:val="clear" w:color="auto" w:fill="F2F2F2"/>
          </w:tcPr>
          <w:p>
            <w:pPr>
              <w:spacing w:after="40" w:before="40" w:line="252" w:lineRule="auto"/>
            </w:pPr>
            <w:r>
              <w:rPr>
                <w:rFonts w:ascii="Consolas" w:hAnsi="Consolas"/>
                <w:sz w:val="15"/>
              </w:rPr>
              <w:t>VIDA</w:t>
            </w:r>
          </w:p>
        </w:tc>
        <w:tc>
          <w:tcPr>
            <w:tcW w:type="dxa" w:w="1368"/>
            <w:shd w:val="clear" w:color="auto" w:fill="F2F2F2"/>
          </w:tcPr>
          <w:p>
            <w:pPr>
              <w:spacing w:after="40" w:before="40" w:line="252" w:lineRule="auto"/>
            </w:pPr>
            <w:r>
              <w:rPr>
                <w:sz w:val="17"/>
              </w:rPr>
              <w:t>—</w:t>
            </w:r>
          </w:p>
        </w:tc>
        <w:tc>
          <w:tcPr>
            <w:tcW w:type="dxa" w:w="2664"/>
            <w:shd w:val="clear" w:color="auto" w:fill="F2F2F2"/>
          </w:tcPr>
          <w:p>
            <w:pPr>
              <w:spacing w:after="40" w:before="40" w:line="252" w:lineRule="auto"/>
            </w:pPr>
            <w:r>
              <w:rPr>
                <w:sz w:val="17"/>
              </w:rPr>
              <w:t>Solo puede emplearse dentro de una condición.</w:t>
            </w:r>
          </w:p>
        </w:tc>
        <w:tc>
          <w:tcPr>
            <w:tcW w:type="dxa" w:w="3384"/>
            <w:shd w:val="clear" w:color="auto" w:fill="F2F2F2"/>
          </w:tcPr>
          <w:p>
            <w:pPr>
              <w:spacing w:after="40" w:before="40" w:line="252" w:lineRule="auto"/>
            </w:pPr>
            <w:r>
              <w:rPr>
                <w:sz w:val="17"/>
              </w:rPr>
              <w:t>Devuelve los puntos de vida restantes del tanque.</w:t>
            </w:r>
          </w:p>
        </w:tc>
      </w:tr>
      <w:tr>
        <w:trPr>
          <w:cantSplit/>
        </w:trPr>
        <w:tc>
          <w:tcPr>
            <w:tcW w:type="dxa" w:w="1656"/>
          </w:tcPr>
          <w:p>
            <w:pPr>
              <w:keepNext/>
              <w:spacing w:after="40" w:before="40" w:line="252" w:lineRule="auto"/>
            </w:pPr>
            <w:r>
              <w:rPr>
                <w:rFonts w:ascii="Consolas" w:hAnsi="Consolas"/>
                <w:sz w:val="15"/>
              </w:rPr>
              <w:t>IF ... THEN ...</w:t>
            </w:r>
          </w:p>
        </w:tc>
        <w:tc>
          <w:tcPr>
            <w:tcW w:type="dxa" w:w="1368"/>
          </w:tcPr>
          <w:p>
            <w:pPr>
              <w:keepNext/>
              <w:spacing w:after="40" w:before="40" w:line="252" w:lineRule="auto"/>
            </w:pPr>
            <w:r>
              <w:rPr>
                <w:sz w:val="17"/>
              </w:rPr>
              <w:t>condición y acción</w:t>
            </w:r>
          </w:p>
        </w:tc>
        <w:tc>
          <w:tcPr>
            <w:tcW w:type="dxa" w:w="2664"/>
          </w:tcPr>
          <w:p>
            <w:pPr>
              <w:keepNext/>
              <w:spacing w:after="40" w:before="40" w:line="252" w:lineRule="auto"/>
            </w:pPr>
            <w:r>
              <w:rPr>
                <w:sz w:val="17"/>
              </w:rPr>
              <w:t>La condición debe evaluar RADAR(dir) o VIDA.</w:t>
            </w:r>
          </w:p>
        </w:tc>
        <w:tc>
          <w:tcPr>
            <w:tcW w:type="dxa" w:w="3384"/>
          </w:tcPr>
          <w:p>
            <w:pPr>
              <w:keepNext/>
              <w:spacing w:after="40" w:before="40" w:line="252" w:lineRule="auto"/>
            </w:pPr>
            <w:r>
              <w:rPr>
                <w:sz w:val="17"/>
              </w:rPr>
              <w:t>Ejecuta la acción si la condición se cumple; en caso contrario el turno se pierde.</w:t>
            </w:r>
          </w:p>
        </w:tc>
      </w:tr>
    </w:tbl>
    <w:p>
      <w:pPr>
        <w:spacing w:after="40"/>
      </w:pPr>
    </w:p>
    <w:p>
      <w:pPr>
        <w:spacing w:after="240" w:before="40"/>
        <w:jc w:val="center"/>
      </w:pPr>
      <w:r>
        <w:rPr>
          <w:i/>
          <w:color w:val="555555"/>
          <w:sz w:val="18"/>
        </w:rPr>
        <w:t>Tabla 5. Conjunto completo de instrucciones del lenguaje.</w:t>
      </w:r>
    </w:p>
    <w:p>
      <w:pPr>
        <w:keepNext/>
        <w:spacing w:before="260" w:after="100"/>
      </w:pPr>
      <w:r>
        <w:rPr>
          <w:rFonts w:ascii="Arial" w:hAnsi="Arial"/>
          <w:b/>
          <w:color w:val="2E74B5"/>
          <w:sz w:val="24"/>
        </w:rPr>
        <w:t>4.3  Ejemplo de programa válido</w:t>
      </w:r>
    </w:p>
    <w:p>
      <w:pPr>
        <w:spacing w:after="140" w:before="0" w:line="276" w:lineRule="auto"/>
      </w:pPr>
      <w:r>
        <w:rPr>
          <w:b w:val="0"/>
          <w:i w:val="0"/>
          <w:color w:val="1A1A1A"/>
          <w:sz w:val="22"/>
        </w:rPr>
        <w:t>Programa de comportamiento ofensivo almacenado en tanques/cazador.txt. Las líneas vacías se ignoran y el símbolo de almohadilla marca un comentario.</w:t>
      </w:r>
    </w:p>
    <w:p>
      <w:pPr>
        <w:spacing w:after="0" w:line="240" w:lineRule="auto"/>
        <w:ind w:left="317"/>
        <w:shd w:val="clear" w:color="auto" w:fill="F5F5F5"/>
      </w:pPr>
      <w:r>
        <w:rPr>
          <w:rFonts w:ascii="Consolas" w:hAnsi="Consolas"/>
          <w:color w:val="1A1A1A"/>
          <w:sz w:val="17"/>
        </w:rPr>
        <w:t># Agresivo: explora, dispara y se acerca</w:t>
      </w:r>
    </w:p>
    <w:p>
      <w:pPr>
        <w:spacing w:after="0" w:line="240" w:lineRule="auto"/>
        <w:ind w:left="317"/>
        <w:shd w:val="clear" w:color="auto" w:fill="F5F5F5"/>
      </w:pPr>
      <w:r>
        <w:rPr>
          <w:rFonts w:ascii="Consolas" w:hAnsi="Consolas"/>
          <w:color w:val="1A1A1A"/>
          <w:sz w:val="17"/>
        </w:rPr>
        <w:t>RADAR(S)</w:t>
      </w:r>
    </w:p>
    <w:p>
      <w:pPr>
        <w:spacing w:after="0" w:line="240" w:lineRule="auto"/>
        <w:ind w:left="317"/>
        <w:shd w:val="clear" w:color="auto" w:fill="F5F5F5"/>
      </w:pPr>
      <w:r>
        <w:rPr>
          <w:rFonts w:ascii="Consolas" w:hAnsi="Consolas"/>
          <w:color w:val="1A1A1A"/>
          <w:sz w:val="17"/>
        </w:rPr>
        <w:t>IF RADAR(S) &gt; 0 THEN AMT(S)</w:t>
      </w:r>
    </w:p>
    <w:p>
      <w:pPr>
        <w:spacing w:after="0" w:line="240" w:lineRule="auto"/>
        <w:ind w:left="317"/>
        <w:shd w:val="clear" w:color="auto" w:fill="F5F5F5"/>
      </w:pPr>
      <w:r>
        <w:rPr>
          <w:rFonts w:ascii="Consolas" w:hAnsi="Consolas"/>
          <w:color w:val="1A1A1A"/>
          <w:sz w:val="17"/>
        </w:rPr>
        <w:t>RADAR(E)</w:t>
      </w:r>
    </w:p>
    <w:p>
      <w:pPr>
        <w:spacing w:after="0" w:line="240" w:lineRule="auto"/>
        <w:ind w:left="317"/>
        <w:shd w:val="clear" w:color="auto" w:fill="F5F5F5"/>
      </w:pPr>
      <w:r>
        <w:rPr>
          <w:rFonts w:ascii="Consolas" w:hAnsi="Consolas"/>
          <w:color w:val="1A1A1A"/>
          <w:sz w:val="17"/>
        </w:rPr>
        <w:t>IF RADAR(E) &gt; 0 THEN AMT(E)</w:t>
      </w:r>
    </w:p>
    <w:p>
      <w:pPr>
        <w:spacing w:after="0" w:line="240" w:lineRule="auto"/>
        <w:ind w:left="317"/>
        <w:shd w:val="clear" w:color="auto" w:fill="F5F5F5"/>
      </w:pPr>
      <w:r>
        <w:rPr>
          <w:rFonts w:ascii="Consolas" w:hAnsi="Consolas"/>
          <w:color w:val="1A1A1A"/>
          <w:sz w:val="17"/>
        </w:rPr>
        <w:t>MOV(S)</w:t>
      </w:r>
    </w:p>
    <w:p>
      <w:pPr>
        <w:spacing w:after="200" w:line="240" w:lineRule="auto"/>
        <w:ind w:left="317"/>
        <w:shd w:val="clear" w:color="auto" w:fill="F5F5F5"/>
      </w:pPr>
      <w:r>
        <w:rPr>
          <w:rFonts w:ascii="Consolas" w:hAnsi="Consolas"/>
          <w:color w:val="1A1A1A"/>
          <w:sz w:val="17"/>
        </w:rPr>
        <w:t>IF VIDA &lt; 40 THEN RESTAURAR</w:t>
      </w:r>
    </w:p>
    <w:p>
      <w:pPr>
        <w:keepNext/>
        <w:spacing w:before="260" w:after="100"/>
      </w:pPr>
      <w:r>
        <w:rPr>
          <w:rFonts w:ascii="Arial" w:hAnsi="Arial"/>
          <w:b/>
          <w:color w:val="2E74B5"/>
          <w:sz w:val="24"/>
        </w:rPr>
        <w:t>4.4  Validación prevista y formato de los errores</w:t>
      </w:r>
    </w:p>
    <w:p>
      <w:pPr>
        <w:spacing w:after="140" w:before="0" w:line="276" w:lineRule="auto"/>
      </w:pPr>
      <w:r>
        <w:rPr>
          <w:b w:val="0"/>
          <w:i w:val="0"/>
          <w:color w:val="1A1A1A"/>
          <w:sz w:val="22"/>
        </w:rPr>
        <w:t>El archivo se validará por completo antes de iniciar la partida: un error de escritura debe detectarse al cargar el archivo y no durante la simulación, cuando su origen sería considerablemente más difícil de rastrear. El validador no se detendrá en el primer error, sino que recorrerá todo el archivo y los reportará todos de una vez, indicando el número de línea.</w:t>
      </w:r>
    </w:p>
    <w:p>
      <w:pPr>
        <w:spacing w:after="140" w:before="0" w:line="276" w:lineRule="auto"/>
      </w:pPr>
      <w:r>
        <w:rPr>
          <w:b w:val="0"/>
          <w:i w:val="0"/>
          <w:color w:val="1A1A1A"/>
          <w:sz w:val="22"/>
        </w:rPr>
        <w:t>Se propone el siguiente formato de salida, redactado aquí como especificación para quien implemente el validador:</w:t>
      </w:r>
    </w:p>
    <w:p>
      <w:pPr>
        <w:spacing w:after="0" w:line="240" w:lineRule="auto"/>
        <w:ind w:left="317"/>
        <w:shd w:val="clear" w:color="auto" w:fill="F5F5F5"/>
      </w:pPr>
      <w:r>
        <w:rPr>
          <w:rFonts w:ascii="Consolas" w:hAnsi="Consolas"/>
          <w:color w:val="1A1A1A"/>
          <w:sz w:val="17"/>
        </w:rPr>
        <w:t>Errores de sintaxis, la partida no inicia:</w:t>
      </w:r>
    </w:p>
    <w:p>
      <w:pPr>
        <w:spacing w:after="0" w:line="240" w:lineRule="auto"/>
        <w:ind w:left="317"/>
        <w:shd w:val="clear" w:color="auto" w:fill="F5F5F5"/>
      </w:pPr>
      <w:r>
        <w:rPr>
          <w:rFonts w:ascii="Consolas" w:hAnsi="Consolas"/>
          <w:color w:val="1A1A1A"/>
          <w:sz w:val="17"/>
        </w:rPr>
        <w:t xml:space="preserve">  &lt;archivo&gt;, línea &lt;n&gt;: instrucción desconocida o mal</w:t>
      </w:r>
    </w:p>
    <w:p>
      <w:pPr>
        <w:spacing w:after="0" w:line="240" w:lineRule="auto"/>
        <w:ind w:left="317"/>
        <w:shd w:val="clear" w:color="auto" w:fill="F5F5F5"/>
      </w:pPr>
      <w:r>
        <w:rPr>
          <w:rFonts w:ascii="Consolas" w:hAnsi="Consolas"/>
          <w:color w:val="1A1A1A"/>
          <w:sz w:val="17"/>
        </w:rPr>
        <w:t xml:space="preserve">      formada: '&lt;texto de la línea&gt;'</w:t>
      </w:r>
    </w:p>
    <w:p>
      <w:pPr>
        <w:spacing w:after="0" w:line="240" w:lineRule="auto"/>
        <w:ind w:left="317"/>
        <w:shd w:val="clear" w:color="auto" w:fill="F5F5F5"/>
      </w:pPr>
      <w:r>
        <w:rPr>
          <w:rFonts w:ascii="Consolas" w:hAnsi="Consolas"/>
          <w:color w:val="1A1A1A"/>
          <w:sz w:val="17"/>
        </w:rPr>
        <w:t xml:space="preserve">  &lt;archivo&gt;, línea &lt;n&gt;: estructura IF inválida</w:t>
      </w:r>
    </w:p>
    <w:p>
      <w:pPr>
        <w:spacing w:after="0" w:line="240" w:lineRule="auto"/>
        <w:ind w:left="317"/>
        <w:shd w:val="clear" w:color="auto" w:fill="F5F5F5"/>
      </w:pPr>
      <w:r>
        <w:rPr>
          <w:rFonts w:ascii="Consolas" w:hAnsi="Consolas"/>
          <w:color w:val="1A1A1A"/>
          <w:sz w:val="17"/>
        </w:rPr>
        <w:t xml:space="preserve">      (use: IF RADAR(dir) &gt; 0 THEN accion ...)</w:t>
      </w:r>
    </w:p>
    <w:p>
      <w:pPr>
        <w:spacing w:after="0" w:line="240" w:lineRule="auto"/>
        <w:ind w:left="317"/>
        <w:shd w:val="clear" w:color="auto" w:fill="F5F5F5"/>
      </w:pPr>
      <w:r>
        <w:rPr>
          <w:rFonts w:ascii="Consolas" w:hAnsi="Consolas"/>
          <w:color w:val="1A1A1A"/>
          <w:sz w:val="17"/>
        </w:rPr>
        <w:t xml:space="preserve">  &lt;archivo&gt;, línea &lt;n&gt;: acción no permitida en IF:</w:t>
      </w:r>
    </w:p>
    <w:p>
      <w:pPr>
        <w:spacing w:after="0" w:line="240" w:lineRule="auto"/>
        <w:ind w:left="317"/>
        <w:shd w:val="clear" w:color="auto" w:fill="F5F5F5"/>
      </w:pPr>
      <w:r>
        <w:rPr>
          <w:rFonts w:ascii="Consolas" w:hAnsi="Consolas"/>
          <w:color w:val="1A1A1A"/>
          <w:sz w:val="17"/>
        </w:rPr>
        <w:t xml:space="preserve">      '&lt;accion&gt;'  (admitidas: AMT, MISIL, ESCUDO, RESTAURAR)</w:t>
      </w:r>
    </w:p>
    <w:p>
      <w:pPr>
        <w:spacing w:after="0" w:line="240" w:lineRule="auto"/>
        <w:ind w:left="317"/>
        <w:shd w:val="clear" w:color="auto" w:fill="F5F5F5"/>
      </w:pPr>
      <w:r>
        <w:rPr>
          <w:rFonts w:ascii="Consolas" w:hAnsi="Consolas"/>
          <w:color w:val="1A1A1A"/>
          <w:sz w:val="17"/>
        </w:rPr>
        <w:t xml:space="preserve">  &lt;archivo&gt;, línea &lt;n&gt;: dirección inválida: '&lt;dir&gt;'</w:t>
      </w:r>
    </w:p>
    <w:p>
      <w:pPr>
        <w:spacing w:after="0" w:line="240" w:lineRule="auto"/>
        <w:ind w:left="317"/>
        <w:shd w:val="clear" w:color="auto" w:fill="F5F5F5"/>
      </w:pPr>
      <w:r>
        <w:rPr>
          <w:rFonts w:ascii="Consolas" w:hAnsi="Consolas"/>
          <w:color w:val="1A1A1A"/>
          <w:sz w:val="17"/>
        </w:rPr>
        <w:t xml:space="preserve">      (admitidas: N, S, E, O)</w:t>
      </w:r>
    </w:p>
    <w:p>
      <w:pPr>
        <w:spacing w:after="200" w:line="240" w:lineRule="auto"/>
        <w:ind w:left="317"/>
        <w:shd w:val="clear" w:color="auto" w:fill="F5F5F5"/>
      </w:pPr>
      <w:r>
        <w:rPr>
          <w:rFonts w:ascii="Consolas" w:hAnsi="Consolas"/>
          <w:color w:val="1A1A1A"/>
          <w:sz w:val="17"/>
        </w:rPr>
        <w:t xml:space="preserve">  &lt;archivo&gt;, línea &lt;n&gt;: coordenada fuera del tablero</w:t>
      </w:r>
    </w:p>
    <w:p>
      <w:pPr>
        <w:spacing w:after="140" w:before="0" w:line="276" w:lineRule="auto"/>
      </w:pPr>
      <w:r>
        <w:rPr>
          <w:b w:val="0"/>
          <w:i w:val="0"/>
          <w:color w:val="1A1A1A"/>
          <w:sz w:val="22"/>
        </w:rPr>
        <w:t>Entre los casos que el validador deberá rechazar se encuentran: una instrucción que no pertenezca al conjunto, una dirección distinta de las cuatro cardinales, un IF cuya condición no evalúe RADAR o VIDA, una acción no admitida dentro de un IF, un misil con una coordenada fuera del tablero y un archivo vacío o que solo contenga comentarios.</w:t>
      </w:r>
    </w:p>
    <w:p>
      <w:pPr>
        <w:keepNext/>
        <w:spacing w:before="400" w:after="160"/>
      </w:pPr>
      <w:r>
        <w:rPr>
          <w:rFonts w:ascii="Arial" w:hAnsi="Arial"/>
          <w:b/>
          <w:color w:val="1F5C3A"/>
          <w:sz w:val="28"/>
        </w:rPr>
        <w:t>5.  Diagramas de flujo</w:t>
      </w:r>
    </w:p>
    <w:p>
      <w:pPr>
        <w:keepNext/>
        <w:spacing w:before="260" w:after="100"/>
      </w:pPr>
      <w:r>
        <w:rPr>
          <w:rFonts w:ascii="Arial" w:hAnsi="Arial"/>
          <w:b/>
          <w:color w:val="2E74B5"/>
          <w:sz w:val="24"/>
        </w:rPr>
        <w:t>5.1  Flujo general del sistema</w:t>
      </w:r>
    </w:p>
    <w:p>
      <w:pPr>
        <w:spacing w:after="140" w:before="0" w:line="276" w:lineRule="auto"/>
      </w:pPr>
      <w:r>
        <w:rPr>
          <w:b w:val="0"/>
          <w:i w:val="0"/>
          <w:color w:val="1A1A1A"/>
          <w:sz w:val="22"/>
        </w:rPr>
        <w:t>El programa carga la configuración y los archivos de los tanques, los valida y, si no hay errores, coloca las unidades y repite el ciclo de ronda hasta que se cumple una condición de término.</w:t>
      </w:r>
    </w:p>
    <w:p>
      <w:pPr>
        <w:keepNext/>
        <w:spacing w:before="160" w:after="60"/>
        <w:jc w:val="center"/>
      </w:pPr>
      <w:r>
        <w:drawing>
          <wp:inline xmlns:a="http://schemas.openxmlformats.org/drawingml/2006/main" xmlns:pic="http://schemas.openxmlformats.org/drawingml/2006/picture">
            <wp:extent cx="5120640" cy="6096000"/>
            <wp:docPr id="3" name="Picture 3"/>
            <wp:cNvGraphicFramePr>
              <a:graphicFrameLocks noChangeAspect="1"/>
            </wp:cNvGraphicFramePr>
            <a:graphic>
              <a:graphicData uri="http://schemas.openxmlformats.org/drawingml/2006/picture">
                <pic:pic>
                  <pic:nvPicPr>
                    <pic:cNvPr id="0" name="fig_flujo_general.png"/>
                    <pic:cNvPicPr/>
                  </pic:nvPicPr>
                  <pic:blipFill>
                    <a:blip r:embed="rId11"/>
                    <a:stretch>
                      <a:fillRect/>
                    </a:stretch>
                  </pic:blipFill>
                  <pic:spPr>
                    <a:xfrm>
                      <a:off x="0" y="0"/>
                      <a:ext cx="5120640" cy="6096000"/>
                    </a:xfrm>
                    <a:prstGeom prst="rect"/>
                  </pic:spPr>
                </pic:pic>
              </a:graphicData>
            </a:graphic>
          </wp:inline>
        </w:drawing>
      </w:r>
    </w:p>
    <w:p>
      <w:pPr>
        <w:spacing w:after="240"/>
        <w:jc w:val="center"/>
      </w:pPr>
      <w:r>
        <w:rPr>
          <w:rFonts w:ascii="Arial" w:hAnsi="Arial"/>
          <w:i/>
          <w:color w:val="555555"/>
          <w:sz w:val="18"/>
        </w:rPr>
        <w:t>Figura 3. Flujo general del sistema, desde la carga de los archivos hasta el resultado.</w:t>
      </w:r>
    </w:p>
    <w:p>
      <w:pPr>
        <w:keepNext/>
        <w:spacing w:before="260" w:after="100"/>
      </w:pPr>
      <w:r>
        <w:rPr>
          <w:rFonts w:ascii="Arial" w:hAnsi="Arial"/>
          <w:b/>
          <w:color w:val="2E74B5"/>
          <w:sz w:val="24"/>
        </w:rPr>
        <w:t>5.2  Ciclo de resolución de una ronda</w:t>
      </w:r>
    </w:p>
    <w:p>
      <w:pPr>
        <w:spacing w:after="140" w:before="0" w:line="276" w:lineRule="auto"/>
      </w:pPr>
      <w:r>
        <w:rPr>
          <w:b w:val="0"/>
          <w:i w:val="0"/>
          <w:color w:val="1A1A1A"/>
          <w:sz w:val="22"/>
        </w:rPr>
        <w:t>Los círculos marcados con una letra son conectores: el flujo continúa en el círculo que lleva la misma letra. El conector A reúne dos caminos, porque un tanque cuya condición resultó falsa no ejecuta acción alguna pero pasa igualmente por la revisión de minas.</w:t>
      </w:r>
    </w:p>
    <w:p>
      <w:pPr>
        <w:keepNext/>
        <w:spacing w:before="160" w:after="60"/>
        <w:jc w:val="center"/>
      </w:pPr>
      <w:r>
        <w:drawing>
          <wp:inline xmlns:a="http://schemas.openxmlformats.org/drawingml/2006/main" xmlns:pic="http://schemas.openxmlformats.org/drawingml/2006/picture">
            <wp:extent cx="5394960" cy="7165181"/>
            <wp:docPr id="4" name="Picture 4"/>
            <wp:cNvGraphicFramePr>
              <a:graphicFrameLocks noChangeAspect="1"/>
            </wp:cNvGraphicFramePr>
            <a:graphic>
              <a:graphicData uri="http://schemas.openxmlformats.org/drawingml/2006/picture">
                <pic:pic>
                  <pic:nvPicPr>
                    <pic:cNvPr id="0" name="Figura2_ciclo_ronda.png"/>
                    <pic:cNvPicPr/>
                  </pic:nvPicPr>
                  <pic:blipFill>
                    <a:blip r:embed="rId12"/>
                    <a:stretch>
                      <a:fillRect/>
                    </a:stretch>
                  </pic:blipFill>
                  <pic:spPr>
                    <a:xfrm>
                      <a:off x="0" y="0"/>
                      <a:ext cx="5394960" cy="7165181"/>
                    </a:xfrm>
                    <a:prstGeom prst="rect"/>
                  </pic:spPr>
                </pic:pic>
              </a:graphicData>
            </a:graphic>
          </wp:inline>
        </w:drawing>
      </w:r>
    </w:p>
    <w:p>
      <w:pPr>
        <w:spacing w:after="240"/>
        <w:jc w:val="center"/>
      </w:pPr>
      <w:r>
        <w:rPr>
          <w:rFonts w:ascii="Arial" w:hAnsi="Arial"/>
          <w:i/>
          <w:color w:val="555555"/>
          <w:sz w:val="18"/>
        </w:rPr>
        <w:t>Figura 4. Ciclo de resolución de una ronda, con las bifurcaciones de cada turno.</w:t>
      </w:r>
    </w:p>
    <w:p>
      <w:pPr>
        <w:keepNext/>
        <w:spacing w:before="400" w:after="160"/>
      </w:pPr>
      <w:r>
        <w:rPr>
          <w:rFonts w:ascii="Arial" w:hAnsi="Arial"/>
          <w:b/>
          <w:color w:val="1F5C3A"/>
          <w:sz w:val="28"/>
        </w:rPr>
        <w:t>6.  Propuesta de diseño gráfico</w:t>
      </w:r>
    </w:p>
    <w:p>
      <w:pPr>
        <w:keepNext/>
        <w:spacing w:before="260" w:after="100"/>
      </w:pPr>
      <w:r>
        <w:rPr>
          <w:rFonts w:ascii="Arial" w:hAnsi="Arial"/>
          <w:b/>
          <w:color w:val="2E74B5"/>
          <w:sz w:val="24"/>
        </w:rPr>
        <w:t>6.1  Criterios adoptados</w:t>
      </w:r>
    </w:p>
    <w:p>
      <w:pPr>
        <w:spacing w:after="140" w:before="0" w:line="276" w:lineRule="auto"/>
      </w:pPr>
      <w:r>
        <w:rPr>
          <w:b w:val="0"/>
          <w:i w:val="0"/>
          <w:color w:val="1A1A1A"/>
          <w:sz w:val="22"/>
        </w:rPr>
        <w:t>La interfaz debe permitir que un observador ajeno al desarrollo siga la partida sin consultar el código. De ese objetivo se derivan cuatro criterios que gobiernan toda la propuesta visual:</w:t>
      </w:r>
    </w:p>
    <w:p>
      <w:pPr>
        <w:pStyle w:val="ListBullet"/>
        <w:spacing w:after="80" w:line="269" w:lineRule="auto"/>
      </w:pPr>
      <w:r>
        <w:rPr>
          <w:color w:val="1A1A1A"/>
          <w:sz w:val="22"/>
        </w:rPr>
        <w:t>Codificación redundante: cada tanque se identifica por color y por número, de modo que el color nunca es el único portador de la información.</w:t>
      </w:r>
    </w:p>
    <w:p>
      <w:pPr>
        <w:pStyle w:val="ListBullet"/>
        <w:spacing w:after="80" w:line="269" w:lineRule="auto"/>
      </w:pPr>
      <w:r>
        <w:rPr>
          <w:color w:val="1A1A1A"/>
          <w:sz w:val="22"/>
        </w:rPr>
        <w:t>Paleta distinguible: los cuatro colores elegidos se diferencian también en un monitor en escala de grises y bajo las formas más comunes de daltonismo.</w:t>
      </w:r>
    </w:p>
    <w:p>
      <w:pPr>
        <w:pStyle w:val="ListBullet"/>
        <w:spacing w:after="80" w:line="269" w:lineRule="auto"/>
      </w:pPr>
      <w:r>
        <w:rPr>
          <w:color w:val="1A1A1A"/>
          <w:sz w:val="22"/>
        </w:rPr>
        <w:t>Estado siempre visible: la vida, la munición, el daño infligido y la línea del programa en ejecución se muestran de forma permanente.</w:t>
      </w:r>
    </w:p>
    <w:p>
      <w:pPr>
        <w:pStyle w:val="ListBullet"/>
        <w:spacing w:after="80" w:line="269" w:lineRule="auto"/>
      </w:pPr>
      <w:r>
        <w:rPr>
          <w:color w:val="1A1A1A"/>
          <w:sz w:val="22"/>
        </w:rPr>
        <w:t>Correspondencia directa: el color y el número del tablero son los mismos del panel lateral y los del registro de eventos.</w:t>
      </w:r>
    </w:p>
    <w:p>
      <w:pPr>
        <w:keepNext/>
        <w:spacing w:before="260" w:after="100"/>
      </w:pPr>
      <w:r>
        <w:rPr>
          <w:rFonts w:ascii="Arial" w:hAnsi="Arial"/>
          <w:b/>
          <w:color w:val="2E74B5"/>
          <w:sz w:val="24"/>
        </w:rPr>
        <w:t>6.2  Modelos de referencia</w:t>
      </w:r>
    </w:p>
    <w:p>
      <w:pPr>
        <w:spacing w:after="140" w:before="0" w:line="276" w:lineRule="auto"/>
      </w:pPr>
      <w:r>
        <w:rPr>
          <w:b w:val="0"/>
          <w:i w:val="0"/>
          <w:color w:val="1A1A1A"/>
          <w:sz w:val="22"/>
        </w:rPr>
        <w:t>Antes de definir el aspecto propio se reunieron varios modelos de referencia de sprites cenitales. De ellos se retuvieron tres rasgos: la silueta rectangular con orugas a los costados, la torreta circular en el centro del casco y el cañón sobresaliendo como único indicador de la orientación.</w:t>
      </w:r>
    </w:p>
    <w:p>
      <w:pPr>
        <w:keepNext/>
        <w:spacing w:before="160" w:after="60"/>
        <w:jc w:val="center"/>
      </w:pPr>
      <w:r>
        <w:drawing>
          <wp:inline xmlns:a="http://schemas.openxmlformats.org/drawingml/2006/main" xmlns:pic="http://schemas.openxmlformats.org/drawingml/2006/picture">
            <wp:extent cx="5120640" cy="4042846"/>
            <wp:docPr id="5" name="Picture 5"/>
            <wp:cNvGraphicFramePr>
              <a:graphicFrameLocks noChangeAspect="1"/>
            </wp:cNvGraphicFramePr>
            <a:graphic>
              <a:graphicData uri="http://schemas.openxmlformats.org/drawingml/2006/picture">
                <pic:pic>
                  <pic:nvPicPr>
                    <pic:cNvPr id="0" name="fig_referencias.png"/>
                    <pic:cNvPicPr/>
                  </pic:nvPicPr>
                  <pic:blipFill>
                    <a:blip r:embed="rId13"/>
                    <a:stretch>
                      <a:fillRect/>
                    </a:stretch>
                  </pic:blipFill>
                  <pic:spPr>
                    <a:xfrm>
                      <a:off x="0" y="0"/>
                      <a:ext cx="5120640" cy="4042846"/>
                    </a:xfrm>
                    <a:prstGeom prst="rect"/>
                  </pic:spPr>
                </pic:pic>
              </a:graphicData>
            </a:graphic>
          </wp:inline>
        </w:drawing>
      </w:r>
    </w:p>
    <w:p>
      <w:pPr>
        <w:spacing w:after="240"/>
        <w:jc w:val="center"/>
      </w:pPr>
      <w:r>
        <w:rPr>
          <w:rFonts w:ascii="Arial" w:hAnsi="Arial"/>
          <w:i/>
          <w:color w:val="555555"/>
          <w:sz w:val="18"/>
        </w:rPr>
        <w:t>Figura 5. Modelos de referencia consultados para el diseño de los sprites propios.</w:t>
      </w:r>
    </w:p>
    <w:p>
      <w:pPr>
        <w:keepNext/>
        <w:spacing w:before="260" w:after="100"/>
      </w:pPr>
      <w:r>
        <w:rPr>
          <w:rFonts w:ascii="Arial" w:hAnsi="Arial"/>
          <w:b/>
          <w:color w:val="2E74B5"/>
          <w:sz w:val="24"/>
        </w:rPr>
        <w:t>6.3  Paleta de colores</w:t>
      </w:r>
    </w:p>
    <w:p>
      <w:pPr>
        <w:keepNext/>
        <w:spacing w:before="160" w:after="60"/>
        <w:jc w:val="center"/>
      </w:pPr>
      <w:r>
        <w:drawing>
          <wp:inline xmlns:a="http://schemas.openxmlformats.org/drawingml/2006/main" xmlns:pic="http://schemas.openxmlformats.org/drawingml/2006/picture">
            <wp:extent cx="5760720" cy="2970371"/>
            <wp:docPr id="6" name="Picture 6"/>
            <wp:cNvGraphicFramePr>
              <a:graphicFrameLocks noChangeAspect="1"/>
            </wp:cNvGraphicFramePr>
            <a:graphic>
              <a:graphicData uri="http://schemas.openxmlformats.org/drawingml/2006/picture">
                <pic:pic>
                  <pic:nvPicPr>
                    <pic:cNvPr id="0" name="fig_paleta.png"/>
                    <pic:cNvPicPr/>
                  </pic:nvPicPr>
                  <pic:blipFill>
                    <a:blip r:embed="rId14"/>
                    <a:stretch>
                      <a:fillRect/>
                    </a:stretch>
                  </pic:blipFill>
                  <pic:spPr>
                    <a:xfrm>
                      <a:off x="0" y="0"/>
                      <a:ext cx="5760720" cy="2970371"/>
                    </a:xfrm>
                    <a:prstGeom prst="rect"/>
                  </pic:spPr>
                </pic:pic>
              </a:graphicData>
            </a:graphic>
          </wp:inline>
        </w:drawing>
      </w:r>
    </w:p>
    <w:p>
      <w:pPr>
        <w:spacing w:after="240"/>
        <w:jc w:val="center"/>
      </w:pPr>
      <w:r>
        <w:rPr>
          <w:rFonts w:ascii="Arial" w:hAnsi="Arial"/>
          <w:i/>
          <w:color w:val="555555"/>
          <w:sz w:val="18"/>
        </w:rPr>
        <w:t>Figura 6. Paleta propuesta para los tanques y para los elementos del sistema.</w:t>
      </w:r>
    </w:p>
    <w:p>
      <w:pPr>
        <w:keepNext/>
        <w:spacing w:before="260" w:after="100"/>
      </w:pPr>
      <w:r>
        <w:rPr>
          <w:rFonts w:ascii="Arial" w:hAnsi="Arial"/>
          <w:b/>
          <w:color w:val="2E74B5"/>
          <w:sz w:val="24"/>
        </w:rPr>
        <w:t>6.4  Sprites de los tanques</w:t>
      </w:r>
    </w:p>
    <w:p>
      <w:pPr>
        <w:spacing w:after="140" w:before="0" w:line="276" w:lineRule="auto"/>
      </w:pPr>
      <w:r>
        <w:rPr>
          <w:b w:val="0"/>
          <w:i w:val="0"/>
          <w:color w:val="1A1A1A"/>
          <w:sz w:val="22"/>
        </w:rPr>
        <w:t>A partir de las referencias anteriores se propone una vista cenital sencilla, compuesta por orugas, casco y torreta. El número va impreso sobre la torreta y el cañón señala la última dirección empleada, lo que permite anticipar el comportamiento de cada unidad.</w:t>
      </w:r>
    </w:p>
    <w:p>
      <w:pPr>
        <w:keepNext/>
        <w:spacing w:before="160" w:after="60"/>
        <w:jc w:val="center"/>
      </w:pPr>
      <w:r>
        <w:drawing>
          <wp:inline xmlns:a="http://schemas.openxmlformats.org/drawingml/2006/main" xmlns:pic="http://schemas.openxmlformats.org/drawingml/2006/picture">
            <wp:extent cx="5760720" cy="2250281"/>
            <wp:docPr id="7" name="Picture 7"/>
            <wp:cNvGraphicFramePr>
              <a:graphicFrameLocks noChangeAspect="1"/>
            </wp:cNvGraphicFramePr>
            <a:graphic>
              <a:graphicData uri="http://schemas.openxmlformats.org/drawingml/2006/picture">
                <pic:pic>
                  <pic:nvPicPr>
                    <pic:cNvPr id="0" name="fig_sprites.png"/>
                    <pic:cNvPicPr/>
                  </pic:nvPicPr>
                  <pic:blipFill>
                    <a:blip r:embed="rId15"/>
                    <a:stretch>
                      <a:fillRect/>
                    </a:stretch>
                  </pic:blipFill>
                  <pic:spPr>
                    <a:xfrm>
                      <a:off x="0" y="0"/>
                      <a:ext cx="5760720" cy="2250281"/>
                    </a:xfrm>
                    <a:prstGeom prst="rect"/>
                  </pic:spPr>
                </pic:pic>
              </a:graphicData>
            </a:graphic>
          </wp:inline>
        </w:drawing>
      </w:r>
    </w:p>
    <w:p>
      <w:pPr>
        <w:spacing w:after="240"/>
        <w:jc w:val="center"/>
      </w:pPr>
      <w:r>
        <w:rPr>
          <w:rFonts w:ascii="Arial" w:hAnsi="Arial"/>
          <w:i/>
          <w:color w:val="555555"/>
          <w:sz w:val="18"/>
        </w:rPr>
        <w:t>Figura 7. Sprites propuestos para los cuatro tanques.</w:t>
      </w:r>
    </w:p>
    <w:p>
      <w:pPr>
        <w:keepNext/>
        <w:spacing w:before="160" w:after="60"/>
        <w:jc w:val="center"/>
      </w:pPr>
      <w:r>
        <w:drawing>
          <wp:inline xmlns:a="http://schemas.openxmlformats.org/drawingml/2006/main" xmlns:pic="http://schemas.openxmlformats.org/drawingml/2006/picture">
            <wp:extent cx="5760720" cy="1710214"/>
            <wp:docPr id="8" name="Picture 8"/>
            <wp:cNvGraphicFramePr>
              <a:graphicFrameLocks noChangeAspect="1"/>
            </wp:cNvGraphicFramePr>
            <a:graphic>
              <a:graphicData uri="http://schemas.openxmlformats.org/drawingml/2006/picture">
                <pic:pic>
                  <pic:nvPicPr>
                    <pic:cNvPr id="0" name="fig_orientacion.png"/>
                    <pic:cNvPicPr/>
                  </pic:nvPicPr>
                  <pic:blipFill>
                    <a:blip r:embed="rId16"/>
                    <a:stretch>
                      <a:fillRect/>
                    </a:stretch>
                  </pic:blipFill>
                  <pic:spPr>
                    <a:xfrm>
                      <a:off x="0" y="0"/>
                      <a:ext cx="5760720" cy="1710214"/>
                    </a:xfrm>
                    <a:prstGeom prst="rect"/>
                  </pic:spPr>
                </pic:pic>
              </a:graphicData>
            </a:graphic>
          </wp:inline>
        </w:drawing>
      </w:r>
    </w:p>
    <w:p>
      <w:pPr>
        <w:spacing w:after="240"/>
        <w:jc w:val="center"/>
      </w:pPr>
      <w:r>
        <w:rPr>
          <w:rFonts w:ascii="Arial" w:hAnsi="Arial"/>
          <w:i/>
          <w:color w:val="555555"/>
          <w:sz w:val="18"/>
        </w:rPr>
        <w:t>Figura 8. El cañón indica la última dirección empleada por el tanque.</w:t>
      </w:r>
    </w:p>
    <w:p>
      <w:pPr>
        <w:keepNext/>
        <w:spacing w:before="260" w:after="100"/>
      </w:pPr>
      <w:r>
        <w:rPr>
          <w:rFonts w:ascii="Arial" w:hAnsi="Arial"/>
          <w:b/>
          <w:color w:val="2E74B5"/>
          <w:sz w:val="24"/>
        </w:rPr>
        <w:t>6.5  Iconografía de los elementos</w:t>
      </w:r>
    </w:p>
    <w:p>
      <w:pPr>
        <w:spacing w:after="140" w:before="0" w:line="276" w:lineRule="auto"/>
      </w:pPr>
      <w:r>
        <w:rPr>
          <w:b w:val="0"/>
          <w:i w:val="0"/>
          <w:color w:val="1A1A1A"/>
          <w:sz w:val="22"/>
        </w:rPr>
        <w:t>Las minas distinguen su estado mediante el trazo: continuo cuando ya están armadas y punteado mientras les faltan turnos para activarse.</w:t>
      </w:r>
    </w:p>
    <w:p>
      <w:pPr>
        <w:keepNext/>
        <w:spacing w:before="160" w:after="60"/>
        <w:jc w:val="center"/>
      </w:pPr>
      <w:r>
        <w:drawing>
          <wp:inline xmlns:a="http://schemas.openxmlformats.org/drawingml/2006/main" xmlns:pic="http://schemas.openxmlformats.org/drawingml/2006/picture">
            <wp:extent cx="5760720" cy="1710214"/>
            <wp:docPr id="9" name="Picture 9"/>
            <wp:cNvGraphicFramePr>
              <a:graphicFrameLocks noChangeAspect="1"/>
            </wp:cNvGraphicFramePr>
            <a:graphic>
              <a:graphicData uri="http://schemas.openxmlformats.org/drawingml/2006/picture">
                <pic:pic>
                  <pic:nvPicPr>
                    <pic:cNvPr id="0" name="fig_iconos.png"/>
                    <pic:cNvPicPr/>
                  </pic:nvPicPr>
                  <pic:blipFill>
                    <a:blip r:embed="rId17"/>
                    <a:stretch>
                      <a:fillRect/>
                    </a:stretch>
                  </pic:blipFill>
                  <pic:spPr>
                    <a:xfrm>
                      <a:off x="0" y="0"/>
                      <a:ext cx="5760720" cy="1710214"/>
                    </a:xfrm>
                    <a:prstGeom prst="rect"/>
                  </pic:spPr>
                </pic:pic>
              </a:graphicData>
            </a:graphic>
          </wp:inline>
        </w:drawing>
      </w:r>
    </w:p>
    <w:p>
      <w:pPr>
        <w:spacing w:after="240"/>
        <w:jc w:val="center"/>
      </w:pPr>
      <w:r>
        <w:rPr>
          <w:rFonts w:ascii="Arial" w:hAnsi="Arial"/>
          <w:i/>
          <w:color w:val="555555"/>
          <w:sz w:val="18"/>
        </w:rPr>
        <w:t>Figura 9. Iconografía de los elementos del tablero.</w:t>
      </w:r>
    </w:p>
    <w:p>
      <w:pPr>
        <w:keepNext/>
        <w:spacing w:before="260" w:after="100"/>
      </w:pPr>
      <w:r>
        <w:rPr>
          <w:rFonts w:ascii="Arial" w:hAnsi="Arial"/>
          <w:b/>
          <w:color w:val="2E74B5"/>
          <w:sz w:val="24"/>
        </w:rPr>
        <w:t>6.6  Bosquejo del menú de inicio</w:t>
      </w:r>
    </w:p>
    <w:p>
      <w:pPr>
        <w:spacing w:after="140" w:before="0" w:line="276" w:lineRule="auto"/>
      </w:pPr>
      <w:r>
        <w:rPr>
          <w:b w:val="0"/>
          <w:i w:val="0"/>
          <w:color w:val="1A1A1A"/>
          <w:sz w:val="22"/>
        </w:rPr>
        <w:t>Es la primera pantalla que aparece al abrir el ejecutable. Presenta el título del juego y tres opciones: iniciar una partida, consultar las instrucciones de uso y salir. El botón de inicio conduce a la ventana de configuración.</w:t>
      </w:r>
    </w:p>
    <w:p>
      <w:pPr>
        <w:keepNext/>
        <w:spacing w:before="160" w:after="60"/>
        <w:jc w:val="center"/>
      </w:pPr>
      <w:r>
        <w:drawing>
          <wp:inline xmlns:a="http://schemas.openxmlformats.org/drawingml/2006/main" xmlns:pic="http://schemas.openxmlformats.org/drawingml/2006/picture">
            <wp:extent cx="5120640" cy="3129280"/>
            <wp:docPr id="10" name="Picture 10"/>
            <wp:cNvGraphicFramePr>
              <a:graphicFrameLocks noChangeAspect="1"/>
            </wp:cNvGraphicFramePr>
            <a:graphic>
              <a:graphicData uri="http://schemas.openxmlformats.org/drawingml/2006/picture">
                <pic:pic>
                  <pic:nvPicPr>
                    <pic:cNvPr id="0" name="fig_bosquejo_menu.png"/>
                    <pic:cNvPicPr/>
                  </pic:nvPicPr>
                  <pic:blipFill>
                    <a:blip r:embed="rId18"/>
                    <a:stretch>
                      <a:fillRect/>
                    </a:stretch>
                  </pic:blipFill>
                  <pic:spPr>
                    <a:xfrm>
                      <a:off x="0" y="0"/>
                      <a:ext cx="5120640" cy="3129280"/>
                    </a:xfrm>
                    <a:prstGeom prst="rect"/>
                  </pic:spPr>
                </pic:pic>
              </a:graphicData>
            </a:graphic>
          </wp:inline>
        </w:drawing>
      </w:r>
    </w:p>
    <w:p>
      <w:pPr>
        <w:spacing w:after="240"/>
        <w:jc w:val="center"/>
      </w:pPr>
      <w:r>
        <w:rPr>
          <w:rFonts w:ascii="Arial" w:hAnsi="Arial"/>
          <w:i/>
          <w:color w:val="555555"/>
          <w:sz w:val="18"/>
        </w:rPr>
        <w:t>Figura 10. Bosquejo del menú de inicio del videojuego.</w:t>
      </w:r>
    </w:p>
    <w:p>
      <w:pPr>
        <w:keepNext/>
        <w:spacing w:before="260" w:after="100"/>
      </w:pPr>
      <w:r>
        <w:rPr>
          <w:rFonts w:ascii="Arial" w:hAnsi="Arial"/>
          <w:b/>
          <w:color w:val="2E74B5"/>
          <w:sz w:val="24"/>
        </w:rPr>
        <w:t>6.7  Bosquejo de la ventana de configuración</w:t>
      </w:r>
    </w:p>
    <w:p>
      <w:pPr>
        <w:spacing w:after="140" w:before="0" w:line="276" w:lineRule="auto"/>
      </w:pPr>
      <w:r>
        <w:rPr>
          <w:b w:val="0"/>
          <w:i w:val="0"/>
          <w:color w:val="1A1A1A"/>
          <w:sz w:val="22"/>
        </w:rPr>
        <w:t>La ventana de configuración asocia cada tanque a un archivo de texto y a un color fijo, y recoge los parámetros de la partida. La semilla aleatoria aparece entre ellos porque es lo que permite reproducir una partida de forma idéntica.</w:t>
      </w:r>
    </w:p>
    <w:p>
      <w:pPr>
        <w:keepNext/>
        <w:spacing w:before="160" w:after="60"/>
        <w:jc w:val="center"/>
      </w:pPr>
      <w:r>
        <w:drawing>
          <wp:inline xmlns:a="http://schemas.openxmlformats.org/drawingml/2006/main" xmlns:pic="http://schemas.openxmlformats.org/drawingml/2006/picture">
            <wp:extent cx="5760720" cy="4206240"/>
            <wp:docPr id="11" name="Picture 11"/>
            <wp:cNvGraphicFramePr>
              <a:graphicFrameLocks noChangeAspect="1"/>
            </wp:cNvGraphicFramePr>
            <a:graphic>
              <a:graphicData uri="http://schemas.openxmlformats.org/drawingml/2006/picture">
                <pic:pic>
                  <pic:nvPicPr>
                    <pic:cNvPr id="0" name="fig_bosquejo_inicio.png"/>
                    <pic:cNvPicPr/>
                  </pic:nvPicPr>
                  <pic:blipFill>
                    <a:blip r:embed="rId19"/>
                    <a:stretch>
                      <a:fillRect/>
                    </a:stretch>
                  </pic:blipFill>
                  <pic:spPr>
                    <a:xfrm>
                      <a:off x="0" y="0"/>
                      <a:ext cx="5760720" cy="4206240"/>
                    </a:xfrm>
                    <a:prstGeom prst="rect"/>
                  </pic:spPr>
                </pic:pic>
              </a:graphicData>
            </a:graphic>
          </wp:inline>
        </w:drawing>
      </w:r>
    </w:p>
    <w:p>
      <w:pPr>
        <w:spacing w:after="240"/>
        <w:jc w:val="center"/>
      </w:pPr>
      <w:r>
        <w:rPr>
          <w:rFonts w:ascii="Arial" w:hAnsi="Arial"/>
          <w:i/>
          <w:color w:val="555555"/>
          <w:sz w:val="18"/>
        </w:rPr>
        <w:t>Figura 11. Bosquejo de la ventana de configuración de la partida.</w:t>
      </w:r>
    </w:p>
    <w:p>
      <w:pPr>
        <w:keepNext/>
        <w:spacing w:before="260" w:after="100"/>
      </w:pPr>
      <w:r>
        <w:rPr>
          <w:rFonts w:ascii="Arial" w:hAnsi="Arial"/>
          <w:b/>
          <w:color w:val="2E74B5"/>
          <w:sz w:val="24"/>
        </w:rPr>
        <w:t>6.8  Bosquejo de la ventana de partida</w:t>
      </w:r>
    </w:p>
    <w:p>
      <w:pPr>
        <w:spacing w:after="140" w:before="0" w:line="276" w:lineRule="auto"/>
      </w:pPr>
      <w:r>
        <w:rPr>
          <w:b w:val="0"/>
          <w:i w:val="0"/>
          <w:color w:val="1A1A1A"/>
          <w:sz w:val="22"/>
        </w:rPr>
        <w:t>El tablero ocupa la zona principal y el panel lateral reúne el estado de cada tanque y el registro de la ronda en curso. Los controles de reproducción permiten pausar, avanzar ronda por ronda y ajustar la velocidad.</w:t>
      </w:r>
    </w:p>
    <w:p>
      <w:pPr>
        <w:keepNext/>
        <w:spacing w:before="160" w:after="60"/>
        <w:jc w:val="center"/>
      </w:pPr>
      <w:r>
        <w:drawing>
          <wp:inline xmlns:a="http://schemas.openxmlformats.org/drawingml/2006/main" xmlns:pic="http://schemas.openxmlformats.org/drawingml/2006/picture">
            <wp:extent cx="5760720" cy="4800600"/>
            <wp:docPr id="12" name="Picture 12"/>
            <wp:cNvGraphicFramePr>
              <a:graphicFrameLocks noChangeAspect="1"/>
            </wp:cNvGraphicFramePr>
            <a:graphic>
              <a:graphicData uri="http://schemas.openxmlformats.org/drawingml/2006/picture">
                <pic:pic>
                  <pic:nvPicPr>
                    <pic:cNvPr id="0" name="fig_bosquejo_partida.png"/>
                    <pic:cNvPicPr/>
                  </pic:nvPicPr>
                  <pic:blipFill>
                    <a:blip r:embed="rId20"/>
                    <a:stretch>
                      <a:fillRect/>
                    </a:stretch>
                  </pic:blipFill>
                  <pic:spPr>
                    <a:xfrm>
                      <a:off x="0" y="0"/>
                      <a:ext cx="5760720" cy="4800600"/>
                    </a:xfrm>
                    <a:prstGeom prst="rect"/>
                  </pic:spPr>
                </pic:pic>
              </a:graphicData>
            </a:graphic>
          </wp:inline>
        </w:drawing>
      </w:r>
    </w:p>
    <w:p>
      <w:pPr>
        <w:spacing w:after="240"/>
        <w:jc w:val="center"/>
      </w:pPr>
      <w:r>
        <w:rPr>
          <w:rFonts w:ascii="Arial" w:hAnsi="Arial"/>
          <w:i/>
          <w:color w:val="555555"/>
          <w:sz w:val="18"/>
        </w:rPr>
        <w:t>Figura 12. Bosquejo de la ventana de partida.</w:t>
      </w:r>
    </w:p>
    <w:p>
      <w:pPr>
        <w:keepNext/>
        <w:spacing w:before="400" w:after="160"/>
      </w:pPr>
      <w:r>
        <w:rPr>
          <w:rFonts w:ascii="Arial" w:hAnsi="Arial"/>
          <w:b/>
          <w:color w:val="1F5C3A"/>
          <w:sz w:val="28"/>
        </w:rPr>
        <w:t>7.  Plan de pruebas</w:t>
      </w:r>
    </w:p>
    <w:p>
      <w:pPr>
        <w:spacing w:after="140" w:before="0" w:line="276" w:lineRule="auto"/>
      </w:pPr>
      <w:r>
        <w:rPr>
          <w:b w:val="0"/>
          <w:i w:val="0"/>
          <w:color w:val="1A1A1A"/>
          <w:sz w:val="22"/>
        </w:rPr>
        <w:t>Las pruebas comenzarán junto con la implementación. Esta sección fija de antemano qué se verificará y bajo qué criterio, de modo que el equipo no tenga que improvisarlo cuando el código ya esté escrito.</w:t>
      </w:r>
    </w:p>
    <w:p>
      <w:pPr>
        <w:keepNext/>
        <w:spacing w:before="260" w:after="100"/>
      </w:pPr>
      <w:r>
        <w:rPr>
          <w:rFonts w:ascii="Arial" w:hAnsi="Arial"/>
          <w:b/>
          <w:color w:val="2E74B5"/>
          <w:sz w:val="24"/>
        </w:rPr>
        <w:t>7.1  Reproducibilidad</w:t>
      </w:r>
    </w:p>
    <w:p>
      <w:pPr>
        <w:spacing w:after="140" w:before="0" w:line="276" w:lineRule="auto"/>
      </w:pPr>
      <w:r>
        <w:rPr>
          <w:b w:val="0"/>
          <w:i w:val="0"/>
          <w:color w:val="1A1A1A"/>
          <w:sz w:val="22"/>
        </w:rPr>
        <w:t>Toda partida se ejecutará con una semilla aleatoria fija tomada del archivo de configuración. Es un requisito y no una comodidad: sin él, cada ejecución produciría posiciones iniciales y curaciones distintas, y resultaría imposible determinar si una modificación del código corrigió un error o introdujo otro nuevo. Una misma semilla deberá producir siempre la misma partida.</w:t>
      </w:r>
    </w:p>
    <w:p>
      <w:pPr>
        <w:keepNext/>
        <w:spacing w:before="260" w:after="100"/>
      </w:pPr>
      <w:r>
        <w:rPr>
          <w:rFonts w:ascii="Arial" w:hAnsi="Arial"/>
          <w:b/>
          <w:color w:val="2E74B5"/>
          <w:sz w:val="24"/>
        </w:rPr>
        <w:t>7.2  Escenario de referencia</w:t>
      </w:r>
    </w:p>
    <w:p>
      <w:pPr>
        <w:spacing w:after="140" w:before="0" w:line="276" w:lineRule="auto"/>
      </w:pPr>
      <w:r>
        <w:rPr>
          <w:b w:val="0"/>
          <w:i w:val="0"/>
          <w:color w:val="1A1A1A"/>
          <w:sz w:val="22"/>
        </w:rPr>
        <w:t>Se fijará un escenario pequeño con semilla y posiciones conocidas, y se escribirá a mano el resultado esperado de las primeras diez rondas. Cuando el motor esté terminado deberá reproducirlo turno por turno. Ese escenario queda como prueba de regresión: si deja de coincidir, algo cambió.</w:t>
      </w:r>
    </w:p>
    <w:p>
      <w:pPr>
        <w:keepNext/>
        <w:spacing w:before="260" w:after="100"/>
      </w:pPr>
      <w:r>
        <w:rPr>
          <w:rFonts w:ascii="Arial" w:hAnsi="Arial"/>
          <w:b/>
          <w:color w:val="2E74B5"/>
          <w:sz w:val="24"/>
        </w:rPr>
        <w:t>7.3  Casos borde que deben verificarse</w:t>
      </w:r>
    </w:p>
    <w:p>
      <w:pPr>
        <w:spacing w:after="140" w:before="0" w:line="276" w:lineRule="auto"/>
      </w:pPr>
      <w:r>
        <w:rPr>
          <w:b w:val="0"/>
          <w:i w:val="0"/>
          <w:color w:val="1A1A1A"/>
          <w:sz w:val="22"/>
        </w:rPr>
        <w:t>Cada fila de la tabla siguiente es un caso de prueba. Se recogen aquí porque son situaciones que el diseño no resuelve de forma evidente y que conviene decidir antes de programarlas.</w:t>
      </w:r>
    </w:p>
    <w:tbl>
      <w:tblPr>
        <w:tblStyle w:val="TableGrid"/>
        <w:tblW w:type="auto" w:w="0"/>
        <w:jc w:val="center"/>
        <w:tblLook w:firstColumn="1" w:firstRow="1" w:lastColumn="0" w:lastRow="0" w:noHBand="0" w:noVBand="1" w:val="04A0"/>
      </w:tblPr>
      <w:tblGrid>
        <w:gridCol w:w="4680"/>
        <w:gridCol w:w="4680"/>
      </w:tblGrid>
      <w:tr>
        <w:trPr>
          <w:cantSplit/>
        </w:trPr>
        <w:tc>
          <w:tcPr>
            <w:tcW w:type="dxa" w:w="1800"/>
            <w:shd w:val="clear" w:color="auto" w:fill="1F5C3A"/>
          </w:tcPr>
          <w:p>
            <w:pPr>
              <w:spacing w:after="40" w:before="40"/>
            </w:pPr>
            <w:r>
              <w:rPr>
                <w:b/>
                <w:color w:val="FFFFFF"/>
                <w:sz w:val="18"/>
              </w:rPr>
              <w:t>Ámbito</w:t>
            </w:r>
          </w:p>
        </w:tc>
        <w:tc>
          <w:tcPr>
            <w:tcW w:type="dxa" w:w="7272"/>
            <w:shd w:val="clear" w:color="auto" w:fill="1F5C3A"/>
          </w:tcPr>
          <w:p>
            <w:pPr>
              <w:spacing w:after="40" w:before="40"/>
            </w:pPr>
            <w:r>
              <w:rPr>
                <w:b/>
                <w:color w:val="FFFFFF"/>
                <w:sz w:val="18"/>
              </w:rPr>
              <w:t>Caso que debe verificarse</w:t>
            </w:r>
          </w:p>
        </w:tc>
      </w:tr>
      <w:tr>
        <w:trPr>
          <w:cantSplit/>
        </w:trPr>
        <w:tc>
          <w:tcPr>
            <w:tcW w:type="dxa" w:w="1800"/>
          </w:tcPr>
          <w:p>
            <w:pPr>
              <w:spacing w:after="40" w:before="40" w:line="252" w:lineRule="auto"/>
            </w:pPr>
            <w:r>
              <w:rPr>
                <w:sz w:val="18"/>
              </w:rPr>
              <w:t>Minas</w:t>
            </w:r>
          </w:p>
        </w:tc>
        <w:tc>
          <w:tcPr>
            <w:tcW w:type="dxa" w:w="7272"/>
          </w:tcPr>
          <w:p>
            <w:pPr>
              <w:spacing w:after="40" w:before="40" w:line="252" w:lineRule="auto"/>
            </w:pPr>
            <w:r>
              <w:rPr>
                <w:sz w:val="18"/>
              </w:rPr>
              <w:t>Un tanque regresa a la casilla de su propia mina ya armada.</w:t>
            </w:r>
          </w:p>
        </w:tc>
      </w:tr>
      <w:tr>
        <w:trPr>
          <w:cantSplit/>
        </w:trPr>
        <w:tc>
          <w:tcPr>
            <w:tcW w:type="dxa" w:w="1800"/>
            <w:shd w:val="clear" w:color="auto" w:fill="F2F2F2"/>
          </w:tcPr>
          <w:p>
            <w:pPr>
              <w:spacing w:after="40" w:before="40" w:line="252" w:lineRule="auto"/>
            </w:pPr>
            <w:r>
              <w:rPr>
                <w:sz w:val="18"/>
              </w:rPr>
              <w:t>Minas</w:t>
            </w:r>
          </w:p>
        </w:tc>
        <w:tc>
          <w:tcPr>
            <w:tcW w:type="dxa" w:w="7272"/>
            <w:shd w:val="clear" w:color="auto" w:fill="F2F2F2"/>
          </w:tcPr>
          <w:p>
            <w:pPr>
              <w:spacing w:after="40" w:before="40" w:line="252" w:lineRule="auto"/>
            </w:pPr>
            <w:r>
              <w:rPr>
                <w:sz w:val="18"/>
              </w:rPr>
              <w:t>El escudo está activo cuando el tanque pisa una mina.</w:t>
            </w:r>
          </w:p>
        </w:tc>
      </w:tr>
      <w:tr>
        <w:trPr>
          <w:cantSplit/>
        </w:trPr>
        <w:tc>
          <w:tcPr>
            <w:tcW w:type="dxa" w:w="1800"/>
          </w:tcPr>
          <w:p>
            <w:pPr>
              <w:spacing w:after="40" w:before="40" w:line="252" w:lineRule="auto"/>
            </w:pPr>
            <w:r>
              <w:rPr>
                <w:sz w:val="18"/>
              </w:rPr>
              <w:t>Minas</w:t>
            </w:r>
          </w:p>
        </w:tc>
        <w:tc>
          <w:tcPr>
            <w:tcW w:type="dxa" w:w="7272"/>
          </w:tcPr>
          <w:p>
            <w:pPr>
              <w:spacing w:after="40" w:before="40" w:line="252" w:lineRule="auto"/>
            </w:pPr>
            <w:r>
              <w:rPr>
                <w:sz w:val="18"/>
              </w:rPr>
              <w:t>Un misil impacta la casilla donde hay una mina colocada.</w:t>
            </w:r>
          </w:p>
        </w:tc>
      </w:tr>
      <w:tr>
        <w:trPr>
          <w:cantSplit/>
        </w:trPr>
        <w:tc>
          <w:tcPr>
            <w:tcW w:type="dxa" w:w="1800"/>
            <w:shd w:val="clear" w:color="auto" w:fill="F2F2F2"/>
          </w:tcPr>
          <w:p>
            <w:pPr>
              <w:spacing w:after="40" w:before="40" w:line="252" w:lineRule="auto"/>
            </w:pPr>
            <w:r>
              <w:rPr>
                <w:sz w:val="18"/>
              </w:rPr>
              <w:t>Minas</w:t>
            </w:r>
          </w:p>
        </w:tc>
        <w:tc>
          <w:tcPr>
            <w:tcW w:type="dxa" w:w="7272"/>
            <w:shd w:val="clear" w:color="auto" w:fill="F2F2F2"/>
          </w:tcPr>
          <w:p>
            <w:pPr>
              <w:spacing w:after="40" w:before="40" w:line="252" w:lineRule="auto"/>
            </w:pPr>
            <w:r>
              <w:rPr>
                <w:sz w:val="18"/>
              </w:rPr>
              <w:t>Se intenta colocar una mina donde ya existe otra.</w:t>
            </w:r>
          </w:p>
        </w:tc>
      </w:tr>
      <w:tr>
        <w:trPr>
          <w:cantSplit/>
        </w:trPr>
        <w:tc>
          <w:tcPr>
            <w:tcW w:type="dxa" w:w="1800"/>
          </w:tcPr>
          <w:p>
            <w:pPr>
              <w:spacing w:after="40" w:before="40" w:line="252" w:lineRule="auto"/>
            </w:pPr>
            <w:r>
              <w:rPr>
                <w:sz w:val="18"/>
              </w:rPr>
              <w:t>Destrucción</w:t>
            </w:r>
          </w:p>
        </w:tc>
        <w:tc>
          <w:tcPr>
            <w:tcW w:type="dxa" w:w="7272"/>
          </w:tcPr>
          <w:p>
            <w:pPr>
              <w:spacing w:after="40" w:before="40" w:line="252" w:lineRule="auto"/>
            </w:pPr>
            <w:r>
              <w:rPr>
                <w:sz w:val="18"/>
              </w:rPr>
              <w:t>Dos tanques son destruidos en la misma ronda.</w:t>
            </w:r>
          </w:p>
        </w:tc>
      </w:tr>
      <w:tr>
        <w:trPr>
          <w:cantSplit/>
        </w:trPr>
        <w:tc>
          <w:tcPr>
            <w:tcW w:type="dxa" w:w="1800"/>
            <w:shd w:val="clear" w:color="auto" w:fill="F2F2F2"/>
          </w:tcPr>
          <w:p>
            <w:pPr>
              <w:spacing w:after="40" w:before="40" w:line="252" w:lineRule="auto"/>
            </w:pPr>
            <w:r>
              <w:rPr>
                <w:sz w:val="18"/>
              </w:rPr>
              <w:t>Destrucción</w:t>
            </w:r>
          </w:p>
        </w:tc>
        <w:tc>
          <w:tcPr>
            <w:tcW w:type="dxa" w:w="7272"/>
            <w:shd w:val="clear" w:color="auto" w:fill="F2F2F2"/>
          </w:tcPr>
          <w:p>
            <w:pPr>
              <w:spacing w:after="40" w:before="40" w:line="252" w:lineRule="auto"/>
            </w:pPr>
            <w:r>
              <w:rPr>
                <w:sz w:val="18"/>
              </w:rPr>
              <w:t>Un tanque es destruido sobre una casilla que ya tenía una refacción.</w:t>
            </w:r>
          </w:p>
        </w:tc>
      </w:tr>
      <w:tr>
        <w:trPr>
          <w:cantSplit/>
        </w:trPr>
        <w:tc>
          <w:tcPr>
            <w:tcW w:type="dxa" w:w="1800"/>
          </w:tcPr>
          <w:p>
            <w:pPr>
              <w:spacing w:after="40" w:before="40" w:line="252" w:lineRule="auto"/>
            </w:pPr>
            <w:r>
              <w:rPr>
                <w:sz w:val="18"/>
              </w:rPr>
              <w:t>Destrucción</w:t>
            </w:r>
          </w:p>
        </w:tc>
        <w:tc>
          <w:tcPr>
            <w:tcW w:type="dxa" w:w="7272"/>
          </w:tcPr>
          <w:p>
            <w:pPr>
              <w:spacing w:after="40" w:before="40" w:line="252" w:lineRule="auto"/>
            </w:pPr>
            <w:r>
              <w:rPr>
                <w:sz w:val="18"/>
              </w:rPr>
              <w:t>Un tanque muere por choque contra la pared: ¿deja refacción y a quién se acredita?</w:t>
            </w:r>
          </w:p>
        </w:tc>
      </w:tr>
      <w:tr>
        <w:trPr>
          <w:cantSplit/>
        </w:trPr>
        <w:tc>
          <w:tcPr>
            <w:tcW w:type="dxa" w:w="1800"/>
            <w:shd w:val="clear" w:color="auto" w:fill="F2F2F2"/>
          </w:tcPr>
          <w:p>
            <w:pPr>
              <w:spacing w:after="40" w:before="40" w:line="252" w:lineRule="auto"/>
            </w:pPr>
            <w:r>
              <w:rPr>
                <w:sz w:val="18"/>
              </w:rPr>
              <w:t>Destrucción</w:t>
            </w:r>
          </w:p>
        </w:tc>
        <w:tc>
          <w:tcPr>
            <w:tcW w:type="dxa" w:w="7272"/>
            <w:shd w:val="clear" w:color="auto" w:fill="F2F2F2"/>
          </w:tcPr>
          <w:p>
            <w:pPr>
              <w:spacing w:after="40" w:before="40" w:line="252" w:lineRule="auto"/>
            </w:pPr>
            <w:r>
              <w:rPr>
                <w:sz w:val="18"/>
              </w:rPr>
              <w:t>Todos los tanques son destruidos en la misma ronda.</w:t>
            </w:r>
          </w:p>
        </w:tc>
      </w:tr>
      <w:tr>
        <w:trPr>
          <w:cantSplit/>
        </w:trPr>
        <w:tc>
          <w:tcPr>
            <w:tcW w:type="dxa" w:w="1800"/>
          </w:tcPr>
          <w:p>
            <w:pPr>
              <w:spacing w:after="40" w:before="40" w:line="252" w:lineRule="auto"/>
            </w:pPr>
            <w:r>
              <w:rPr>
                <w:sz w:val="18"/>
              </w:rPr>
              <w:t>Refacciones</w:t>
            </w:r>
          </w:p>
        </w:tc>
        <w:tc>
          <w:tcPr>
            <w:tcW w:type="dxa" w:w="7272"/>
          </w:tcPr>
          <w:p>
            <w:pPr>
              <w:spacing w:after="40" w:before="40" w:line="252" w:lineRule="auto"/>
            </w:pPr>
            <w:r>
              <w:rPr>
                <w:sz w:val="18"/>
              </w:rPr>
              <w:t>Se recoge una refacción con la vida al máximo.</w:t>
            </w:r>
          </w:p>
        </w:tc>
      </w:tr>
      <w:tr>
        <w:trPr>
          <w:cantSplit/>
        </w:trPr>
        <w:tc>
          <w:tcPr>
            <w:tcW w:type="dxa" w:w="1800"/>
            <w:shd w:val="clear" w:color="auto" w:fill="F2F2F2"/>
          </w:tcPr>
          <w:p>
            <w:pPr>
              <w:spacing w:after="40" w:before="40" w:line="252" w:lineRule="auto"/>
            </w:pPr>
            <w:r>
              <w:rPr>
                <w:sz w:val="18"/>
              </w:rPr>
              <w:t>Choques</w:t>
            </w:r>
          </w:p>
        </w:tc>
        <w:tc>
          <w:tcPr>
            <w:tcW w:type="dxa" w:w="7272"/>
            <w:shd w:val="clear" w:color="auto" w:fill="F2F2F2"/>
          </w:tcPr>
          <w:p>
            <w:pPr>
              <w:spacing w:after="40" w:before="40" w:line="252" w:lineRule="auto"/>
            </w:pPr>
            <w:r>
              <w:rPr>
                <w:sz w:val="18"/>
              </w:rPr>
              <w:t>El tanque embestido tiene el escudo activo.</w:t>
            </w:r>
          </w:p>
        </w:tc>
      </w:tr>
      <w:tr>
        <w:trPr>
          <w:cantSplit/>
        </w:trPr>
        <w:tc>
          <w:tcPr>
            <w:tcW w:type="dxa" w:w="1800"/>
          </w:tcPr>
          <w:p>
            <w:pPr>
              <w:spacing w:after="40" w:before="40" w:line="252" w:lineRule="auto"/>
            </w:pPr>
            <w:r>
              <w:rPr>
                <w:sz w:val="18"/>
              </w:rPr>
              <w:t>Choques</w:t>
            </w:r>
          </w:p>
        </w:tc>
        <w:tc>
          <w:tcPr>
            <w:tcW w:type="dxa" w:w="7272"/>
          </w:tcPr>
          <w:p>
            <w:pPr>
              <w:spacing w:after="40" w:before="40" w:line="252" w:lineRule="auto"/>
            </w:pPr>
            <w:r>
              <w:rPr>
                <w:sz w:val="18"/>
              </w:rPr>
              <w:t>El choque destruye al embestido: ¿el embestidor ocupa la casilla?</w:t>
            </w:r>
          </w:p>
        </w:tc>
      </w:tr>
      <w:tr>
        <w:trPr>
          <w:cantSplit/>
        </w:trPr>
        <w:tc>
          <w:tcPr>
            <w:tcW w:type="dxa" w:w="1800"/>
            <w:shd w:val="clear" w:color="auto" w:fill="F2F2F2"/>
          </w:tcPr>
          <w:p>
            <w:pPr>
              <w:spacing w:after="40" w:before="40" w:line="252" w:lineRule="auto"/>
            </w:pPr>
            <w:r>
              <w:rPr>
                <w:sz w:val="18"/>
              </w:rPr>
              <w:t>Misil</w:t>
            </w:r>
          </w:p>
        </w:tc>
        <w:tc>
          <w:tcPr>
            <w:tcW w:type="dxa" w:w="7272"/>
            <w:shd w:val="clear" w:color="auto" w:fill="F2F2F2"/>
          </w:tcPr>
          <w:p>
            <w:pPr>
              <w:spacing w:after="40" w:before="40" w:line="252" w:lineRule="auto"/>
            </w:pPr>
            <w:r>
              <w:rPr>
                <w:sz w:val="18"/>
              </w:rPr>
              <w:t>La coordenada indicada cae fuera del tablero.</w:t>
            </w:r>
          </w:p>
        </w:tc>
      </w:tr>
      <w:tr>
        <w:trPr>
          <w:cantSplit/>
        </w:trPr>
        <w:tc>
          <w:tcPr>
            <w:tcW w:type="dxa" w:w="1800"/>
          </w:tcPr>
          <w:p>
            <w:pPr>
              <w:spacing w:after="40" w:before="40" w:line="252" w:lineRule="auto"/>
            </w:pPr>
            <w:r>
              <w:rPr>
                <w:sz w:val="18"/>
              </w:rPr>
              <w:t>Misil</w:t>
            </w:r>
          </w:p>
        </w:tc>
        <w:tc>
          <w:tcPr>
            <w:tcW w:type="dxa" w:w="7272"/>
          </w:tcPr>
          <w:p>
            <w:pPr>
              <w:spacing w:after="40" w:before="40" w:line="252" w:lineRule="auto"/>
            </w:pPr>
            <w:r>
              <w:rPr>
                <w:sz w:val="18"/>
              </w:rPr>
              <w:t>La coordenada indicada es la casilla del propio tanque.</w:t>
            </w:r>
          </w:p>
        </w:tc>
      </w:tr>
      <w:tr>
        <w:trPr>
          <w:cantSplit/>
        </w:trPr>
        <w:tc>
          <w:tcPr>
            <w:tcW w:type="dxa" w:w="1800"/>
            <w:shd w:val="clear" w:color="auto" w:fill="F2F2F2"/>
          </w:tcPr>
          <w:p>
            <w:pPr>
              <w:spacing w:after="40" w:before="40" w:line="252" w:lineRule="auto"/>
            </w:pPr>
            <w:r>
              <w:rPr>
                <w:sz w:val="18"/>
              </w:rPr>
              <w:t>Restauración</w:t>
            </w:r>
          </w:p>
        </w:tc>
        <w:tc>
          <w:tcPr>
            <w:tcW w:type="dxa" w:w="7272"/>
            <w:shd w:val="clear" w:color="auto" w:fill="F2F2F2"/>
          </w:tcPr>
          <w:p>
            <w:pPr>
              <w:spacing w:after="40" w:before="40" w:line="252" w:lineRule="auto"/>
            </w:pPr>
            <w:r>
              <w:rPr>
                <w:sz w:val="18"/>
              </w:rPr>
              <w:t>Se invoca RESTAURAR con la vida al máximo.</w:t>
            </w:r>
          </w:p>
        </w:tc>
      </w:tr>
      <w:tr>
        <w:trPr>
          <w:cantSplit/>
        </w:trPr>
        <w:tc>
          <w:tcPr>
            <w:tcW w:type="dxa" w:w="1800"/>
          </w:tcPr>
          <w:p>
            <w:pPr>
              <w:spacing w:after="40" w:before="40" w:line="252" w:lineRule="auto"/>
            </w:pPr>
            <w:r>
              <w:rPr>
                <w:sz w:val="18"/>
              </w:rPr>
              <w:t>Arranque</w:t>
            </w:r>
          </w:p>
        </w:tc>
        <w:tc>
          <w:tcPr>
            <w:tcW w:type="dxa" w:w="7272"/>
          </w:tcPr>
          <w:p>
            <w:pPr>
              <w:spacing w:after="40" w:before="40" w:line="252" w:lineRule="auto"/>
            </w:pPr>
            <w:r>
              <w:rPr>
                <w:sz w:val="18"/>
              </w:rPr>
              <w:t>Archivo vacío o que solo contiene comentarios.</w:t>
            </w:r>
          </w:p>
        </w:tc>
      </w:tr>
      <w:tr>
        <w:trPr>
          <w:cantSplit/>
        </w:trPr>
        <w:tc>
          <w:tcPr>
            <w:tcW w:type="dxa" w:w="1800"/>
            <w:shd w:val="clear" w:color="auto" w:fill="F2F2F2"/>
          </w:tcPr>
          <w:p>
            <w:pPr>
              <w:spacing w:after="40" w:before="40" w:line="252" w:lineRule="auto"/>
            </w:pPr>
            <w:r>
              <w:rPr>
                <w:sz w:val="18"/>
              </w:rPr>
              <w:t>Arranque</w:t>
            </w:r>
          </w:p>
        </w:tc>
        <w:tc>
          <w:tcPr>
            <w:tcW w:type="dxa" w:w="7272"/>
            <w:shd w:val="clear" w:color="auto" w:fill="F2F2F2"/>
          </w:tcPr>
          <w:p>
            <w:pPr>
              <w:spacing w:after="40" w:before="40" w:line="252" w:lineRule="auto"/>
            </w:pPr>
            <w:r>
              <w:rPr>
                <w:sz w:val="18"/>
              </w:rPr>
              <w:t>El tablero tiene menos casillas que tanques.</w:t>
            </w:r>
          </w:p>
        </w:tc>
      </w:tr>
      <w:tr>
        <w:trPr>
          <w:cantSplit/>
        </w:trPr>
        <w:tc>
          <w:tcPr>
            <w:tcW w:type="dxa" w:w="1800"/>
          </w:tcPr>
          <w:p>
            <w:pPr>
              <w:keepNext/>
              <w:spacing w:after="40" w:before="40" w:line="252" w:lineRule="auto"/>
            </w:pPr>
            <w:r>
              <w:rPr>
                <w:sz w:val="18"/>
              </w:rPr>
              <w:t>Arranque</w:t>
            </w:r>
          </w:p>
        </w:tc>
        <w:tc>
          <w:tcPr>
            <w:tcW w:type="dxa" w:w="7272"/>
          </w:tcPr>
          <w:p>
            <w:pPr>
              <w:keepNext/>
              <w:spacing w:after="40" w:before="40" w:line="252" w:lineRule="auto"/>
            </w:pPr>
            <w:r>
              <w:rPr>
                <w:sz w:val="18"/>
              </w:rPr>
              <w:t>La partida se ejecuta con un solo tanque.</w:t>
            </w:r>
          </w:p>
        </w:tc>
      </w:tr>
    </w:tbl>
    <w:p>
      <w:pPr>
        <w:spacing w:after="40"/>
      </w:pPr>
    </w:p>
    <w:p>
      <w:pPr>
        <w:spacing w:after="240" w:before="40"/>
        <w:jc w:val="center"/>
      </w:pPr>
      <w:r>
        <w:rPr>
          <w:i/>
          <w:color w:val="555555"/>
          <w:sz w:val="18"/>
        </w:rPr>
        <w:t>Tabla 6. Casos borde que deberán cubrirse con pruebas.</w:t>
      </w:r>
    </w:p>
    <w:p>
      <w:pPr>
        <w:keepNext/>
        <w:spacing w:before="260" w:after="100"/>
      </w:pPr>
      <w:r>
        <w:rPr>
          <w:rFonts w:ascii="Arial" w:hAnsi="Arial"/>
          <w:b/>
          <w:color w:val="2E74B5"/>
          <w:sz w:val="24"/>
        </w:rPr>
        <w:t>7.4  Medición del equilibrio</w:t>
      </w:r>
    </w:p>
    <w:p>
      <w:pPr>
        <w:spacing w:after="140" w:before="0" w:line="276" w:lineRule="auto"/>
      </w:pPr>
      <w:r>
        <w:rPr>
          <w:b w:val="0"/>
          <w:i w:val="0"/>
          <w:color w:val="1A1A1A"/>
          <w:sz w:val="22"/>
        </w:rPr>
        <w:t>Una vez que el motor funcione se ejecutarán lotes de cien partidas con semillas consecutivas y se registrarán, para cada una, el ganador, la forma de término, el número de rondas y el daño infligido por cada tanque. Conviene separar las partidas resueltas por destrucción de las adjudicadas por desempate: son dos medidas distintas y mezclarlas puede hacer parecer dominante a una estrategia que en combate directo no lo es.</w:t>
      </w:r>
    </w:p>
    <w:p>
      <w:pPr>
        <w:spacing w:after="140" w:before="0" w:line="276" w:lineRule="auto"/>
      </w:pPr>
      <w:r>
        <w:rPr>
          <w:b w:val="0"/>
          <w:i w:val="0"/>
          <w:color w:val="1A1A1A"/>
          <w:sz w:val="22"/>
        </w:rPr>
        <w:t>Se registrará además el daño autoinfligido —choques contra la pared y minas propias— por separado del daño causado por los rivales. Si esa proporción resulta alta, significará que los programas de ejemplo desperdician turnos y no que el equilibrio entre armas sea incorrecto.</w:t>
      </w:r>
    </w:p>
    <w:p>
      <w:pPr>
        <w:keepNext/>
        <w:spacing w:before="400" w:after="160"/>
      </w:pPr>
      <w:r>
        <w:rPr>
          <w:rFonts w:ascii="Arial" w:hAnsi="Arial"/>
          <w:b/>
          <w:color w:val="1F5C3A"/>
          <w:sz w:val="28"/>
        </w:rPr>
        <w:t>8.  Puntos abiertos y riesgos</w:t>
      </w:r>
    </w:p>
    <w:p>
      <w:pPr>
        <w:spacing w:after="140" w:before="0" w:line="276" w:lineRule="auto"/>
      </w:pPr>
      <w:r>
        <w:rPr>
          <w:b w:val="0"/>
          <w:i w:val="0"/>
          <w:color w:val="1A1A1A"/>
          <w:sz w:val="22"/>
        </w:rPr>
        <w:t>Las siguientes decisiones siguen sin cerrarse y afectan la estructura del motor, por lo que deben resolverse durante la primera semana, antes de escribir el código correspondiente.</w:t>
      </w:r>
    </w:p>
    <w:tbl>
      <w:tblPr>
        <w:tblStyle w:val="TableGrid"/>
        <w:tblW w:type="auto" w:w="0"/>
        <w:jc w:val="center"/>
        <w:tblLook w:firstColumn="1" w:firstRow="1" w:lastColumn="0" w:lastRow="0" w:noHBand="0" w:noVBand="1" w:val="04A0"/>
      </w:tblPr>
      <w:tblGrid>
        <w:gridCol w:w="4680"/>
        <w:gridCol w:w="4680"/>
      </w:tblGrid>
      <w:tr>
        <w:trPr>
          <w:cantSplit/>
        </w:trPr>
        <w:tc>
          <w:tcPr>
            <w:tcW w:type="dxa" w:w="3312"/>
            <w:shd w:val="clear" w:color="auto" w:fill="1F5C3A"/>
          </w:tcPr>
          <w:p>
            <w:pPr>
              <w:spacing w:after="40" w:before="40"/>
            </w:pPr>
            <w:r>
              <w:rPr>
                <w:b/>
                <w:color w:val="FFFFFF"/>
                <w:sz w:val="18"/>
              </w:rPr>
              <w:t>Punto abierto</w:t>
            </w:r>
          </w:p>
        </w:tc>
        <w:tc>
          <w:tcPr>
            <w:tcW w:type="dxa" w:w="5760"/>
            <w:shd w:val="clear" w:color="auto" w:fill="1F5C3A"/>
          </w:tcPr>
          <w:p>
            <w:pPr>
              <w:spacing w:after="40" w:before="40"/>
            </w:pPr>
            <w:r>
              <w:rPr>
                <w:b/>
                <w:color w:val="FFFFFF"/>
                <w:sz w:val="18"/>
              </w:rPr>
              <w:t>Por qué debe resolverse antes</w:t>
            </w:r>
          </w:p>
        </w:tc>
      </w:tr>
      <w:tr>
        <w:trPr>
          <w:cantSplit/>
        </w:trPr>
        <w:tc>
          <w:tcPr>
            <w:tcW w:type="dxa" w:w="3312"/>
          </w:tcPr>
          <w:p>
            <w:pPr>
              <w:spacing w:after="40" w:before="40" w:line="252" w:lineRule="auto"/>
            </w:pPr>
            <w:r>
              <w:rPr>
                <w:sz w:val="18"/>
              </w:rPr>
              <w:t>¿RADAR consume un turno propio?</w:t>
            </w:r>
          </w:p>
        </w:tc>
        <w:tc>
          <w:tcPr>
            <w:tcW w:type="dxa" w:w="5760"/>
          </w:tcPr>
          <w:p>
            <w:pPr>
              <w:spacing w:after="40" w:before="40" w:line="252" w:lineRule="auto"/>
            </w:pPr>
            <w:r>
              <w:rPr>
                <w:sz w:val="18"/>
              </w:rPr>
              <w:t>Entre la exploración y la acción transcurriría una ronda completa y el objetivo podría haberse desplazado. Define si la instrucción suelta resulta útil.</w:t>
            </w:r>
          </w:p>
        </w:tc>
      </w:tr>
      <w:tr>
        <w:trPr>
          <w:cantSplit/>
        </w:trPr>
        <w:tc>
          <w:tcPr>
            <w:tcW w:type="dxa" w:w="3312"/>
            <w:shd w:val="clear" w:color="auto" w:fill="F2F2F2"/>
          </w:tcPr>
          <w:p>
            <w:pPr>
              <w:spacing w:after="40" w:before="40" w:line="252" w:lineRule="auto"/>
            </w:pPr>
            <w:r>
              <w:rPr>
                <w:sz w:val="18"/>
              </w:rPr>
              <w:t>¿Se incorpora ELSE a la estructura condicional?</w:t>
            </w:r>
          </w:p>
        </w:tc>
        <w:tc>
          <w:tcPr>
            <w:tcW w:type="dxa" w:w="5760"/>
            <w:shd w:val="clear" w:color="auto" w:fill="F2F2F2"/>
          </w:tcPr>
          <w:p>
            <w:pPr>
              <w:spacing w:after="40" w:before="40" w:line="252" w:lineRule="auto"/>
            </w:pPr>
            <w:r>
              <w:rPr>
                <w:sz w:val="18"/>
              </w:rPr>
              <w:t>Sin rama alternativa, cada condición falsa cuesta el turno entero. Afecta directamente al ritmo de la partida.</w:t>
            </w:r>
          </w:p>
        </w:tc>
      </w:tr>
      <w:tr>
        <w:trPr>
          <w:cantSplit/>
        </w:trPr>
        <w:tc>
          <w:tcPr>
            <w:tcW w:type="dxa" w:w="3312"/>
          </w:tcPr>
          <w:p>
            <w:pPr>
              <w:spacing w:after="40" w:before="40" w:line="252" w:lineRule="auto"/>
            </w:pPr>
            <w:r>
              <w:rPr>
                <w:sz w:val="18"/>
              </w:rPr>
              <w:t>¿Las coordenadas son base 0 o base 1?</w:t>
            </w:r>
          </w:p>
        </w:tc>
        <w:tc>
          <w:tcPr>
            <w:tcW w:type="dxa" w:w="5760"/>
          </w:tcPr>
          <w:p>
            <w:pPr>
              <w:spacing w:after="40" w:before="40" w:line="252" w:lineRule="auto"/>
            </w:pPr>
            <w:r>
              <w:rPr>
                <w:sz w:val="18"/>
              </w:rPr>
              <w:t>El primer reporte y este documento deben coincidir; una discrepancia produce errores de desplazamiento difíciles de localizar.</w:t>
            </w:r>
          </w:p>
        </w:tc>
      </w:tr>
      <w:tr>
        <w:trPr>
          <w:cantSplit/>
        </w:trPr>
        <w:tc>
          <w:tcPr>
            <w:tcW w:type="dxa" w:w="3312"/>
            <w:shd w:val="clear" w:color="auto" w:fill="F2F2F2"/>
          </w:tcPr>
          <w:p>
            <w:pPr>
              <w:spacing w:after="40" w:before="40" w:line="252" w:lineRule="auto"/>
            </w:pPr>
            <w:r>
              <w:rPr>
                <w:sz w:val="18"/>
              </w:rPr>
              <w:t>Duración exacta del escudo con orden sorteado</w:t>
            </w:r>
          </w:p>
        </w:tc>
        <w:tc>
          <w:tcPr>
            <w:tcW w:type="dxa" w:w="5760"/>
            <w:shd w:val="clear" w:color="auto" w:fill="F2F2F2"/>
          </w:tcPr>
          <w:p>
            <w:pPr>
              <w:spacing w:after="40" w:before="40" w:line="252" w:lineRule="auto"/>
            </w:pPr>
            <w:r>
              <w:rPr>
                <w:sz w:val="18"/>
              </w:rPr>
              <w:t>Al sortearse el orden, la protección puede durar casi dos rondas o casi ninguna según el turno que toque.</w:t>
            </w:r>
          </w:p>
        </w:tc>
      </w:tr>
      <w:tr>
        <w:trPr>
          <w:cantSplit/>
        </w:trPr>
        <w:tc>
          <w:tcPr>
            <w:tcW w:type="dxa" w:w="3312"/>
          </w:tcPr>
          <w:p>
            <w:pPr>
              <w:spacing w:after="40" w:before="40" w:line="252" w:lineRule="auto"/>
            </w:pPr>
            <w:r>
              <w:rPr>
                <w:sz w:val="18"/>
              </w:rPr>
              <w:t>Armado de la mina: ¿rondas o turnos del propietario?</w:t>
            </w:r>
          </w:p>
        </w:tc>
        <w:tc>
          <w:tcPr>
            <w:tcW w:type="dxa" w:w="5760"/>
          </w:tcPr>
          <w:p>
            <w:pPr>
              <w:spacing w:after="40" w:before="40" w:line="252" w:lineRule="auto"/>
            </w:pPr>
            <w:r>
              <w:rPr>
                <w:sz w:val="18"/>
              </w:rPr>
              <w:t>Con orden aleatorio ambas medidas difieren, y la diferencia puede ser de varias casillas de distancia.</w:t>
            </w:r>
          </w:p>
        </w:tc>
      </w:tr>
      <w:tr>
        <w:trPr>
          <w:cantSplit/>
        </w:trPr>
        <w:tc>
          <w:tcPr>
            <w:tcW w:type="dxa" w:w="3312"/>
            <w:shd w:val="clear" w:color="auto" w:fill="F2F2F2"/>
          </w:tcPr>
          <w:p>
            <w:pPr>
              <w:spacing w:after="40" w:before="40" w:line="252" w:lineRule="auto"/>
            </w:pPr>
            <w:r>
              <w:rPr>
                <w:sz w:val="18"/>
              </w:rPr>
              <w:t>Acreditación del daño en el choque</w:t>
            </w:r>
          </w:p>
        </w:tc>
        <w:tc>
          <w:tcPr>
            <w:tcW w:type="dxa" w:w="5760"/>
            <w:shd w:val="clear" w:color="auto" w:fill="F2F2F2"/>
          </w:tcPr>
          <w:p>
            <w:pPr>
              <w:spacing w:after="40" w:before="40" w:line="252" w:lineRule="auto"/>
            </w:pPr>
            <w:r>
              <w:rPr>
                <w:sz w:val="18"/>
              </w:rPr>
              <w:t>Debe fijarse si el embestidor se anota el daño del rival, el propio o ambos; de ello depende el desempate.</w:t>
            </w:r>
          </w:p>
        </w:tc>
      </w:tr>
      <w:tr>
        <w:trPr>
          <w:cantSplit/>
        </w:trPr>
        <w:tc>
          <w:tcPr>
            <w:tcW w:type="dxa" w:w="3312"/>
          </w:tcPr>
          <w:p>
            <w:pPr>
              <w:keepNext/>
              <w:spacing w:after="40" w:before="40" w:line="252" w:lineRule="auto"/>
            </w:pPr>
            <w:r>
              <w:rPr>
                <w:sz w:val="18"/>
              </w:rPr>
              <w:t>Número máximo de rondas</w:t>
            </w:r>
          </w:p>
        </w:tc>
        <w:tc>
          <w:tcPr>
            <w:tcW w:type="dxa" w:w="5760"/>
          </w:tcPr>
          <w:p>
            <w:pPr>
              <w:keepNext/>
              <w:spacing w:after="40" w:before="40" w:line="252" w:lineRule="auto"/>
            </w:pPr>
            <w:r>
              <w:rPr>
                <w:sz w:val="18"/>
              </w:rPr>
              <w:t>Si resulta demasiado alto, el desempate decidirá la mayoría de las partidas en lugar del combate.</w:t>
            </w:r>
          </w:p>
        </w:tc>
      </w:tr>
    </w:tbl>
    <w:p>
      <w:pPr>
        <w:spacing w:after="40"/>
      </w:pPr>
    </w:p>
    <w:p>
      <w:pPr>
        <w:spacing w:after="240" w:before="40"/>
        <w:jc w:val="center"/>
      </w:pPr>
      <w:r>
        <w:rPr>
          <w:i/>
          <w:color w:val="555555"/>
          <w:sz w:val="18"/>
        </w:rPr>
        <w:t>Tabla 7. Decisiones pendientes de cerrar antes de implementar.</w:t>
      </w:r>
    </w:p>
    <w:p>
      <w:pPr>
        <w:spacing w:after="140" w:before="0" w:line="276" w:lineRule="auto"/>
      </w:pPr>
      <w:r>
        <w:rPr>
          <w:b w:val="0"/>
          <w:i w:val="0"/>
          <w:color w:val="1A1A1A"/>
          <w:sz w:val="22"/>
        </w:rPr>
        <w:t>Al margen de lo anterior se identifican dos riesgos técnicos. El primero es la ausencia de aislamiento: los programas de los tanques se ejecutarán sobre el mismo hilo que el motor, de modo que un bucle infinito o una excepción no controlada detendría la simulación completa; la validación previa del archivo reduce esa posibilidad pero no la elimina. El segundo es de calendario: la versión funcional está prevista para el 30 de octubre, lo que deja cuatro semanas para el intérprete, el motor y la interfaz, por lo que conviene respetar los contratos de la sección 2.2 y no reasignar módulos a media marcha.</w:t>
      </w:r>
    </w:p>
    <w:p>
      <w:pPr>
        <w:keepNext/>
        <w:spacing w:before="400" w:after="160"/>
      </w:pPr>
      <w:r>
        <w:rPr>
          <w:rFonts w:ascii="Arial" w:hAnsi="Arial"/>
          <w:b/>
          <w:color w:val="1F5C3A"/>
          <w:sz w:val="28"/>
        </w:rPr>
        <w:t>9.  Cronograma</w:t>
      </w:r>
    </w:p>
    <w:p>
      <w:pPr>
        <w:spacing w:after="140" w:before="0" w:line="276" w:lineRule="auto"/>
      </w:pPr>
      <w:r>
        <w:rPr>
          <w:b w:val="0"/>
          <w:i w:val="0"/>
          <w:color w:val="1A1A1A"/>
          <w:sz w:val="22"/>
        </w:rPr>
        <w:t>El proyecto comenzó el 30 de agosto. El periodo comprendido entre esa fecha y el 4 de octubre corresponde a la definición del proyecto, la especificación de las reglas y el diseño que recoge este documento: son las tres etapas concluidas. A partir del 5 de octubre se organiza en siete semanas el trabajo restante, que comienza con la implementación.</w:t>
      </w:r>
    </w:p>
    <w:p>
      <w:pPr>
        <w:spacing w:after="140" w:before="0" w:line="276" w:lineRule="auto"/>
      </w:pPr>
      <w:r>
        <w:rPr>
          <w:b w:val="0"/>
          <w:i w:val="0"/>
          <w:color w:val="1A1A1A"/>
          <w:sz w:val="22"/>
        </w:rPr>
        <w:t>La versión funcional completa está prevista para el 30 de octubre, dentro de la cuarta semana. Las tres semanas siguientes se reservan deliberadamente para el balanceo de las reglas, la corrección de los errores que vayan surgiendo y el cierre del diseño gráfico y la documentación.</w:t>
      </w:r>
    </w:p>
    <w:p>
      <w:pPr>
        <w:keepNext/>
        <w:spacing w:before="160" w:after="60"/>
        <w:jc w:val="center"/>
      </w:pPr>
      <w:r>
        <w:drawing>
          <wp:inline xmlns:a="http://schemas.openxmlformats.org/drawingml/2006/main" xmlns:pic="http://schemas.openxmlformats.org/drawingml/2006/picture">
            <wp:extent cx="5760720" cy="5891784"/>
            <wp:docPr id="13" name="Picture 13"/>
            <wp:cNvGraphicFramePr>
              <a:graphicFrameLocks noChangeAspect="1"/>
            </wp:cNvGraphicFramePr>
            <a:graphic>
              <a:graphicData uri="http://schemas.openxmlformats.org/drawingml/2006/picture">
                <pic:pic>
                  <pic:nvPicPr>
                    <pic:cNvPr id="0" name="fig_cronograma.png"/>
                    <pic:cNvPicPr/>
                  </pic:nvPicPr>
                  <pic:blipFill>
                    <a:blip r:embed="rId21"/>
                    <a:stretch>
                      <a:fillRect/>
                    </a:stretch>
                  </pic:blipFill>
                  <pic:spPr>
                    <a:xfrm>
                      <a:off x="0" y="0"/>
                      <a:ext cx="5760720" cy="5891784"/>
                    </a:xfrm>
                    <a:prstGeom prst="rect"/>
                  </pic:spPr>
                </pic:pic>
              </a:graphicData>
            </a:graphic>
          </wp:inline>
        </w:drawing>
      </w:r>
    </w:p>
    <w:p>
      <w:pPr>
        <w:spacing w:after="240"/>
        <w:jc w:val="center"/>
      </w:pPr>
      <w:r>
        <w:rPr>
          <w:rFonts w:ascii="Arial" w:hAnsi="Arial"/>
          <w:i/>
          <w:color w:val="555555"/>
          <w:sz w:val="18"/>
        </w:rPr>
        <w:t>Figura 13. Cronograma del proyecto: antecedentes y siete semanas de desarrollo.</w:t>
      </w:r>
    </w:p>
    <w:p>
      <w:pPr>
        <w:keepNext/>
        <w:spacing w:before="260" w:after="100"/>
      </w:pPr>
      <w:r>
        <w:rPr>
          <w:rFonts w:ascii="Arial" w:hAnsi="Arial"/>
          <w:b/>
          <w:color w:val="2E74B5"/>
          <w:sz w:val="24"/>
        </w:rPr>
        <w:t>9.1  Actividades por semana</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1080"/>
            <w:shd w:val="clear" w:color="auto" w:fill="1F5C3A"/>
          </w:tcPr>
          <w:p>
            <w:pPr>
              <w:spacing w:after="40" w:before="40"/>
            </w:pPr>
            <w:r>
              <w:rPr>
                <w:b/>
                <w:color w:val="FFFFFF"/>
                <w:sz w:val="18"/>
              </w:rPr>
              <w:t>Semana</w:t>
            </w:r>
          </w:p>
        </w:tc>
        <w:tc>
          <w:tcPr>
            <w:tcW w:type="dxa" w:w="1800"/>
            <w:shd w:val="clear" w:color="auto" w:fill="1F5C3A"/>
          </w:tcPr>
          <w:p>
            <w:pPr>
              <w:spacing w:after="40" w:before="40"/>
            </w:pPr>
            <w:r>
              <w:rPr>
                <w:b/>
                <w:color w:val="FFFFFF"/>
                <w:sz w:val="18"/>
              </w:rPr>
              <w:t>Periodo</w:t>
            </w:r>
          </w:p>
        </w:tc>
        <w:tc>
          <w:tcPr>
            <w:tcW w:type="dxa" w:w="6192"/>
            <w:shd w:val="clear" w:color="auto" w:fill="1F5C3A"/>
          </w:tcPr>
          <w:p>
            <w:pPr>
              <w:spacing w:after="40" w:before="40"/>
            </w:pPr>
            <w:r>
              <w:rPr>
                <w:b/>
                <w:color w:val="FFFFFF"/>
                <w:sz w:val="18"/>
              </w:rPr>
              <w:t>Actividades</w:t>
            </w:r>
          </w:p>
        </w:tc>
      </w:tr>
      <w:tr>
        <w:trPr>
          <w:cantSplit/>
        </w:trPr>
        <w:tc>
          <w:tcPr>
            <w:tcW w:type="dxa" w:w="1080"/>
          </w:tcPr>
          <w:p>
            <w:pPr>
              <w:spacing w:after="40" w:before="40" w:line="252" w:lineRule="auto"/>
            </w:pPr>
            <w:r>
              <w:rPr>
                <w:b/>
                <w:sz w:val="18"/>
              </w:rPr>
              <w:t>S1</w:t>
            </w:r>
          </w:p>
        </w:tc>
        <w:tc>
          <w:tcPr>
            <w:tcW w:type="dxa" w:w="1800"/>
          </w:tcPr>
          <w:p>
            <w:pPr>
              <w:spacing w:after="40" w:before="40" w:line="252" w:lineRule="auto"/>
            </w:pPr>
            <w:r>
              <w:rPr>
                <w:sz w:val="18"/>
              </w:rPr>
              <w:t>5 – 11 oct</w:t>
            </w:r>
          </w:p>
        </w:tc>
        <w:tc>
          <w:tcPr>
            <w:tcW w:type="dxa" w:w="6192"/>
          </w:tcPr>
          <w:p>
            <w:pPr>
              <w:spacing w:after="40" w:before="40" w:line="252" w:lineRule="auto"/>
            </w:pPr>
            <w:r>
              <w:rPr>
                <w:sz w:val="18"/>
              </w:rPr>
              <w:t>Cerrar los puntos abiertos de la sección 8. Fijar los contratos entre módulos. Comenzar el intérprete y el validador.</w:t>
            </w:r>
          </w:p>
        </w:tc>
      </w:tr>
      <w:tr>
        <w:trPr>
          <w:cantSplit/>
        </w:trPr>
        <w:tc>
          <w:tcPr>
            <w:tcW w:type="dxa" w:w="1080"/>
            <w:shd w:val="clear" w:color="auto" w:fill="F2F2F2"/>
          </w:tcPr>
          <w:p>
            <w:pPr>
              <w:spacing w:after="40" w:before="40" w:line="252" w:lineRule="auto"/>
            </w:pPr>
            <w:r>
              <w:rPr>
                <w:b/>
                <w:sz w:val="18"/>
              </w:rPr>
              <w:t>S2</w:t>
            </w:r>
          </w:p>
        </w:tc>
        <w:tc>
          <w:tcPr>
            <w:tcW w:type="dxa" w:w="1800"/>
            <w:shd w:val="clear" w:color="auto" w:fill="F2F2F2"/>
          </w:tcPr>
          <w:p>
            <w:pPr>
              <w:spacing w:after="40" w:before="40" w:line="252" w:lineRule="auto"/>
            </w:pPr>
            <w:r>
              <w:rPr>
                <w:sz w:val="18"/>
              </w:rPr>
              <w:t>12 – 18 oct</w:t>
            </w:r>
          </w:p>
        </w:tc>
        <w:tc>
          <w:tcPr>
            <w:tcW w:type="dxa" w:w="6192"/>
            <w:shd w:val="clear" w:color="auto" w:fill="F2F2F2"/>
          </w:tcPr>
          <w:p>
            <w:pPr>
              <w:spacing w:after="40" w:before="40" w:line="252" w:lineRule="auto"/>
            </w:pPr>
            <w:r>
              <w:rPr>
                <w:sz w:val="18"/>
              </w:rPr>
              <w:t>Terminar el intérprete. Motor: tablero, turnos, movimiento y armamento. Formato de la bitácora y archivo de configuración. Inicio de la interfaz.</w:t>
            </w:r>
          </w:p>
        </w:tc>
      </w:tr>
      <w:tr>
        <w:trPr>
          <w:cantSplit/>
        </w:trPr>
        <w:tc>
          <w:tcPr>
            <w:tcW w:type="dxa" w:w="1080"/>
          </w:tcPr>
          <w:p>
            <w:pPr>
              <w:spacing w:after="40" w:before="40" w:line="252" w:lineRule="auto"/>
            </w:pPr>
            <w:r>
              <w:rPr>
                <w:b/>
                <w:sz w:val="18"/>
              </w:rPr>
              <w:t>S3</w:t>
            </w:r>
          </w:p>
        </w:tc>
        <w:tc>
          <w:tcPr>
            <w:tcW w:type="dxa" w:w="1800"/>
          </w:tcPr>
          <w:p>
            <w:pPr>
              <w:spacing w:after="40" w:before="40" w:line="252" w:lineRule="auto"/>
            </w:pPr>
            <w:r>
              <w:rPr>
                <w:sz w:val="18"/>
              </w:rPr>
              <w:t>19 – 25 oct</w:t>
            </w:r>
          </w:p>
        </w:tc>
        <w:tc>
          <w:tcPr>
            <w:tcW w:type="dxa" w:w="6192"/>
          </w:tcPr>
          <w:p>
            <w:pPr>
              <w:spacing w:after="40" w:before="40" w:line="252" w:lineRule="auto"/>
            </w:pPr>
            <w:r>
              <w:rPr>
                <w:sz w:val="18"/>
              </w:rPr>
              <w:t>Motor: minas, refacciones, escudo, choques y desempate. Interfaz gráfica: tablero, panel de estado, registro y controles. Pruebas unitarias.</w:t>
            </w:r>
          </w:p>
        </w:tc>
      </w:tr>
      <w:tr>
        <w:trPr>
          <w:cantSplit/>
        </w:trPr>
        <w:tc>
          <w:tcPr>
            <w:tcW w:type="dxa" w:w="1080"/>
            <w:shd w:val="clear" w:color="auto" w:fill="F2F2F2"/>
          </w:tcPr>
          <w:p>
            <w:pPr>
              <w:spacing w:after="40" w:before="40" w:line="252" w:lineRule="auto"/>
            </w:pPr>
            <w:r>
              <w:rPr>
                <w:b/>
                <w:sz w:val="18"/>
              </w:rPr>
              <w:t>S4</w:t>
            </w:r>
          </w:p>
        </w:tc>
        <w:tc>
          <w:tcPr>
            <w:tcW w:type="dxa" w:w="1800"/>
            <w:shd w:val="clear" w:color="auto" w:fill="F2F2F2"/>
          </w:tcPr>
          <w:p>
            <w:pPr>
              <w:spacing w:after="40" w:before="40" w:line="252" w:lineRule="auto"/>
            </w:pPr>
            <w:r>
              <w:rPr>
                <w:sz w:val="18"/>
              </w:rPr>
              <w:t>26 oct – 1 nov</w:t>
            </w:r>
          </w:p>
        </w:tc>
        <w:tc>
          <w:tcPr>
            <w:tcW w:type="dxa" w:w="6192"/>
            <w:shd w:val="clear" w:color="auto" w:fill="F2F2F2"/>
          </w:tcPr>
          <w:p>
            <w:pPr>
              <w:spacing w:after="40" w:before="40" w:line="252" w:lineRule="auto"/>
            </w:pPr>
            <w:r>
              <w:rPr>
                <w:sz w:val="18"/>
              </w:rPr>
              <w:t>Integración de los tres módulos y pruebas del sistema completo. Versión funcional el 30 de octubre.</w:t>
            </w:r>
          </w:p>
        </w:tc>
      </w:tr>
      <w:tr>
        <w:trPr>
          <w:cantSplit/>
        </w:trPr>
        <w:tc>
          <w:tcPr>
            <w:tcW w:type="dxa" w:w="1080"/>
          </w:tcPr>
          <w:p>
            <w:pPr>
              <w:spacing w:after="40" w:before="40" w:line="252" w:lineRule="auto"/>
            </w:pPr>
            <w:r>
              <w:rPr>
                <w:b/>
                <w:sz w:val="18"/>
              </w:rPr>
              <w:t>S5</w:t>
            </w:r>
          </w:p>
        </w:tc>
        <w:tc>
          <w:tcPr>
            <w:tcW w:type="dxa" w:w="1800"/>
          </w:tcPr>
          <w:p>
            <w:pPr>
              <w:spacing w:after="40" w:before="40" w:line="252" w:lineRule="auto"/>
            </w:pPr>
            <w:r>
              <w:rPr>
                <w:sz w:val="18"/>
              </w:rPr>
              <w:t>2 – 8 nov</w:t>
            </w:r>
          </w:p>
        </w:tc>
        <w:tc>
          <w:tcPr>
            <w:tcW w:type="dxa" w:w="6192"/>
          </w:tcPr>
          <w:p>
            <w:pPr>
              <w:spacing w:after="40" w:before="40" w:line="252" w:lineRule="auto"/>
            </w:pPr>
            <w:r>
              <w:rPr>
                <w:sz w:val="18"/>
              </w:rPr>
              <w:t>Balanceo de reglas con lotes de cien partidas, según el plan de la sección 7. Corrección de los errores detectados en la integración.</w:t>
            </w:r>
          </w:p>
        </w:tc>
      </w:tr>
      <w:tr>
        <w:trPr>
          <w:cantSplit/>
        </w:trPr>
        <w:tc>
          <w:tcPr>
            <w:tcW w:type="dxa" w:w="1080"/>
            <w:shd w:val="clear" w:color="auto" w:fill="F2F2F2"/>
          </w:tcPr>
          <w:p>
            <w:pPr>
              <w:spacing w:after="40" w:before="40" w:line="252" w:lineRule="auto"/>
            </w:pPr>
            <w:r>
              <w:rPr>
                <w:b/>
                <w:sz w:val="18"/>
              </w:rPr>
              <w:t>S6</w:t>
            </w:r>
          </w:p>
        </w:tc>
        <w:tc>
          <w:tcPr>
            <w:tcW w:type="dxa" w:w="1800"/>
            <w:shd w:val="clear" w:color="auto" w:fill="F2F2F2"/>
          </w:tcPr>
          <w:p>
            <w:pPr>
              <w:spacing w:after="40" w:before="40" w:line="252" w:lineRule="auto"/>
            </w:pPr>
            <w:r>
              <w:rPr>
                <w:sz w:val="18"/>
              </w:rPr>
              <w:t>9 – 15 nov</w:t>
            </w:r>
          </w:p>
        </w:tc>
        <w:tc>
          <w:tcPr>
            <w:tcW w:type="dxa" w:w="6192"/>
            <w:shd w:val="clear" w:color="auto" w:fill="F2F2F2"/>
          </w:tcPr>
          <w:p>
            <w:pPr>
              <w:spacing w:after="40" w:before="40" w:line="252" w:lineRule="auto"/>
            </w:pPr>
            <w:r>
              <w:rPr>
                <w:sz w:val="18"/>
              </w:rPr>
              <w:t>Diseño gráfico definitivo: sprites, paleta e iconografía. Pruebas de usabilidad de la interfaz y ajustes.</w:t>
            </w:r>
          </w:p>
        </w:tc>
      </w:tr>
      <w:tr>
        <w:trPr>
          <w:cantSplit/>
        </w:trPr>
        <w:tc>
          <w:tcPr>
            <w:tcW w:type="dxa" w:w="1080"/>
          </w:tcPr>
          <w:p>
            <w:pPr>
              <w:keepNext/>
              <w:spacing w:after="40" w:before="40" w:line="252" w:lineRule="auto"/>
            </w:pPr>
            <w:r>
              <w:rPr>
                <w:b/>
                <w:sz w:val="18"/>
              </w:rPr>
              <w:t>S7</w:t>
            </w:r>
          </w:p>
        </w:tc>
        <w:tc>
          <w:tcPr>
            <w:tcW w:type="dxa" w:w="1800"/>
          </w:tcPr>
          <w:p>
            <w:pPr>
              <w:keepNext/>
              <w:spacing w:after="40" w:before="40" w:line="252" w:lineRule="auto"/>
            </w:pPr>
            <w:r>
              <w:rPr>
                <w:sz w:val="18"/>
              </w:rPr>
              <w:t>16 – 22 nov</w:t>
            </w:r>
          </w:p>
        </w:tc>
        <w:tc>
          <w:tcPr>
            <w:tcW w:type="dxa" w:w="6192"/>
          </w:tcPr>
          <w:p>
            <w:pPr>
              <w:keepNext/>
              <w:spacing w:after="40" w:before="40" w:line="252" w:lineRule="auto"/>
            </w:pPr>
            <w:r>
              <w:rPr>
                <w:sz w:val="18"/>
              </w:rPr>
              <w:t>Pruebas finales, manual de uso, documentación del repositorio y entrega.</w:t>
            </w:r>
          </w:p>
        </w:tc>
      </w:tr>
    </w:tbl>
    <w:p>
      <w:pPr>
        <w:spacing w:after="40"/>
      </w:pPr>
    </w:p>
    <w:p>
      <w:pPr>
        <w:spacing w:after="240" w:before="40"/>
        <w:jc w:val="center"/>
      </w:pPr>
      <w:r>
        <w:rPr>
          <w:i/>
          <w:color w:val="555555"/>
          <w:sz w:val="18"/>
        </w:rPr>
        <w:t>Tabla 8. Detalle de las actividades previstas para cada semana.</w:t>
      </w:r>
    </w:p>
    <w:p>
      <w:pPr>
        <w:keepNext/>
        <w:spacing w:before="400" w:after="160"/>
      </w:pPr>
      <w:r>
        <w:rPr>
          <w:rFonts w:ascii="Arial" w:hAnsi="Arial"/>
          <w:b/>
          <w:color w:val="1F5C3A"/>
          <w:sz w:val="28"/>
        </w:rPr>
        <w:t>10.  Reparto de trabajo</w:t>
      </w:r>
    </w:p>
    <w:tbl>
      <w:tblPr>
        <w:tblStyle w:val="TableGrid"/>
        <w:tblW w:type="auto" w:w="0"/>
        <w:jc w:val="center"/>
        <w:tblLook w:firstColumn="1" w:firstRow="1" w:lastColumn="0" w:lastRow="0" w:noHBand="0" w:noVBand="1" w:val="04A0"/>
      </w:tblPr>
      <w:tblGrid>
        <w:gridCol w:w="4680"/>
        <w:gridCol w:w="4680"/>
      </w:tblGrid>
      <w:tr>
        <w:trPr>
          <w:cantSplit/>
        </w:trPr>
        <w:tc>
          <w:tcPr>
            <w:tcW w:type="dxa" w:w="4896"/>
            <w:shd w:val="clear" w:color="auto" w:fill="1F5C3A"/>
          </w:tcPr>
          <w:p>
            <w:pPr>
              <w:spacing w:after="40" w:before="40"/>
            </w:pPr>
            <w:r>
              <w:rPr>
                <w:b/>
                <w:color w:val="FFFFFF"/>
                <w:sz w:val="19"/>
              </w:rPr>
              <w:t>Módulo</w:t>
            </w:r>
          </w:p>
        </w:tc>
        <w:tc>
          <w:tcPr>
            <w:tcW w:type="dxa" w:w="4176"/>
            <w:shd w:val="clear" w:color="auto" w:fill="1F5C3A"/>
          </w:tcPr>
          <w:p>
            <w:pPr>
              <w:spacing w:after="40" w:before="40"/>
            </w:pPr>
            <w:r>
              <w:rPr>
                <w:b/>
                <w:color w:val="FFFFFF"/>
                <w:sz w:val="19"/>
              </w:rPr>
              <w:t>Responsable</w:t>
            </w:r>
          </w:p>
        </w:tc>
      </w:tr>
      <w:tr>
        <w:trPr>
          <w:cantSplit/>
        </w:trPr>
        <w:tc>
          <w:tcPr>
            <w:tcW w:type="dxa" w:w="4896"/>
          </w:tcPr>
          <w:p>
            <w:pPr>
              <w:spacing w:after="40" w:before="40" w:line="252" w:lineRule="auto"/>
            </w:pPr>
            <w:r>
              <w:rPr>
                <w:sz w:val="19"/>
              </w:rPr>
              <w:t>Intérprete y validador</w:t>
            </w:r>
          </w:p>
        </w:tc>
        <w:tc>
          <w:tcPr>
            <w:tcW w:type="dxa" w:w="4176"/>
          </w:tcPr>
          <w:p>
            <w:pPr>
              <w:spacing w:after="40" w:before="40" w:line="252" w:lineRule="auto"/>
            </w:pPr>
            <w:r>
              <w:rPr>
                <w:sz w:val="19"/>
              </w:rPr>
            </w:r>
          </w:p>
        </w:tc>
      </w:tr>
      <w:tr>
        <w:trPr>
          <w:cantSplit/>
        </w:trPr>
        <w:tc>
          <w:tcPr>
            <w:tcW w:type="dxa" w:w="4896"/>
            <w:shd w:val="clear" w:color="auto" w:fill="F2F2F2"/>
          </w:tcPr>
          <w:p>
            <w:pPr>
              <w:spacing w:after="40" w:before="40" w:line="252" w:lineRule="auto"/>
            </w:pPr>
            <w:r>
              <w:rPr>
                <w:sz w:val="19"/>
              </w:rPr>
              <w:t>Motor de simulación</w:t>
            </w:r>
          </w:p>
        </w:tc>
        <w:tc>
          <w:tcPr>
            <w:tcW w:type="dxa" w:w="4176"/>
            <w:shd w:val="clear" w:color="auto" w:fill="F2F2F2"/>
          </w:tcPr>
          <w:p>
            <w:pPr>
              <w:spacing w:after="40" w:before="40" w:line="252" w:lineRule="auto"/>
            </w:pPr>
            <w:r>
              <w:rPr>
                <w:sz w:val="19"/>
              </w:rPr>
            </w:r>
          </w:p>
        </w:tc>
      </w:tr>
      <w:tr>
        <w:trPr>
          <w:cantSplit/>
        </w:trPr>
        <w:tc>
          <w:tcPr>
            <w:tcW w:type="dxa" w:w="4896"/>
          </w:tcPr>
          <w:p>
            <w:pPr>
              <w:spacing w:after="40" w:before="40" w:line="252" w:lineRule="auto"/>
            </w:pPr>
            <w:r>
              <w:rPr>
                <w:sz w:val="19"/>
              </w:rPr>
              <w:t>Interfaz gráfica y diseño</w:t>
            </w:r>
          </w:p>
        </w:tc>
        <w:tc>
          <w:tcPr>
            <w:tcW w:type="dxa" w:w="4176"/>
          </w:tcPr>
          <w:p>
            <w:pPr>
              <w:spacing w:after="40" w:before="40" w:line="252" w:lineRule="auto"/>
            </w:pPr>
            <w:r>
              <w:rPr>
                <w:sz w:val="19"/>
              </w:rPr>
            </w:r>
          </w:p>
        </w:tc>
      </w:tr>
      <w:tr>
        <w:trPr>
          <w:cantSplit/>
        </w:trPr>
        <w:tc>
          <w:tcPr>
            <w:tcW w:type="dxa" w:w="4896"/>
            <w:shd w:val="clear" w:color="auto" w:fill="F2F2F2"/>
          </w:tcPr>
          <w:p>
            <w:pPr>
              <w:keepNext/>
              <w:spacing w:after="40" w:before="40" w:line="252" w:lineRule="auto"/>
            </w:pPr>
            <w:r>
              <w:rPr>
                <w:sz w:val="19"/>
              </w:rPr>
              <w:t>Configuración, bitácora y pruebas</w:t>
            </w:r>
          </w:p>
        </w:tc>
        <w:tc>
          <w:tcPr>
            <w:tcW w:type="dxa" w:w="4176"/>
            <w:shd w:val="clear" w:color="auto" w:fill="F2F2F2"/>
          </w:tcPr>
          <w:p>
            <w:pPr>
              <w:keepNext/>
              <w:spacing w:after="40" w:before="40" w:line="252" w:lineRule="auto"/>
            </w:pPr>
            <w:r>
              <w:rPr>
                <w:sz w:val="19"/>
              </w:rPr>
            </w:r>
          </w:p>
        </w:tc>
      </w:tr>
    </w:tbl>
    <w:p>
      <w:pPr>
        <w:spacing w:after="40"/>
      </w:pPr>
    </w:p>
    <w:p>
      <w:pPr>
        <w:spacing w:after="240" w:before="40"/>
        <w:jc w:val="center"/>
      </w:pPr>
      <w:r>
        <w:rPr>
          <w:i/>
          <w:color w:val="555555"/>
          <w:sz w:val="18"/>
        </w:rPr>
        <w:t>Tabla 9. Reparto de los módulos entre los integrantes del equipo.</w:t>
      </w:r>
    </w:p>
    <w:p>
      <w:pPr>
        <w:keepNext/>
        <w:spacing w:before="400" w:after="160"/>
      </w:pPr>
      <w:r>
        <w:rPr>
          <w:rFonts w:ascii="Arial" w:hAnsi="Arial"/>
          <w:b/>
          <w:color w:val="1F5C3A"/>
          <w:sz w:val="28"/>
        </w:rPr>
        <w:t>11.  Anexos</w:t>
      </w:r>
    </w:p>
    <w:p>
      <w:pPr>
        <w:spacing w:after="140" w:before="0" w:line="276" w:lineRule="auto"/>
      </w:pPr>
      <w:r>
        <w:rPr>
          <w:b w:val="0"/>
          <w:i w:val="0"/>
          <w:color w:val="1A1A1A"/>
          <w:sz w:val="22"/>
        </w:rPr>
        <w:t>Este reporte no incluye código, ya que la implementación comienza en la primera semana del cronograma. Se acompañan los siguientes materiales de diseño:</w:t>
      </w:r>
    </w:p>
    <w:p>
      <w:pPr>
        <w:pStyle w:val="ListBullet"/>
        <w:spacing w:after="80" w:line="269" w:lineRule="auto"/>
      </w:pPr>
      <w:r>
        <w:rPr>
          <w:color w:val="1A1A1A"/>
          <w:sz w:val="22"/>
        </w:rPr>
        <w:t>Figuras del documento en archivos independientes, para su uso en la presentación.</w:t>
      </w:r>
    </w:p>
    <w:p>
      <w:pPr>
        <w:pStyle w:val="ListBullet"/>
        <w:spacing w:after="80" w:line="269" w:lineRule="auto"/>
      </w:pPr>
      <w:r>
        <w:rPr>
          <w:color w:val="1A1A1A"/>
          <w:sz w:val="22"/>
        </w:rPr>
        <w:t>Programas de ejemplo redactados en el lenguaje de instrucciones (cazador, defensivo y explorador), aún sin ejecutar.</w:t>
      </w:r>
    </w:p>
    <w:p>
      <w:pPr>
        <w:pStyle w:val="ListBullet"/>
        <w:spacing w:after="80" w:line="269" w:lineRule="auto"/>
      </w:pPr>
      <w:r>
        <w:rPr>
          <w:color w:val="1A1A1A"/>
          <w:sz w:val="22"/>
        </w:rPr>
        <w:t>Archivo de configuración de referencia (config.json) con los parámetros descritos en la sección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