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b/>
          <w:bCs/>
          <w:color w:val="1F4E79"/>
          <w:sz w:val="48"/>
          <w:szCs w:val="48"/>
        </w:rPr>
        <w:t xml:space="preserve">Guía de Cálculo de Nómina</w:t>
      </w:r>
    </w:p>
    <w:p>
      <w:pPr>
        <w:spacing w:after="120"/>
        <w:jc w:val="center"/>
      </w:pPr>
      <w:r>
        <w:rPr>
          <w:color w:val="404040"/>
          <w:sz w:val="24"/>
          <w:szCs w:val="24"/>
        </w:rPr>
        <w:t xml:space="preserve">Manual operativo para la determinación de percepciones, deducciones, cuotas obrero-patronales, ISR e ISN en nómina semanal</w:t>
      </w:r>
    </w:p>
    <w:p>
      <w:pPr>
        <w:spacing w:after="1800"/>
        <w:jc w:val="center"/>
      </w:pPr>
      <w:r>
        <w:rPr>
          <w:i/>
          <w:iCs/>
          <w:color w:val="595959"/>
          <w:sz w:val="22"/>
          <w:szCs w:val="22"/>
        </w:rPr>
        <w:t xml:space="preserve">Edición vigente – Alineada al modelo de cálculo de referencia</w:t>
      </w:r>
    </w:p>
    <w:p>
      <w:r>
        <w:br w:type="page"/>
      </w:r>
    </w:p>
    <w:p>
      <w:pPr>
        <w:pStyle w:val="Heading1"/>
      </w:pPr>
      <w:r>
        <w:t xml:space="preserve">Contenido</w:t>
      </w:r>
    </w:p>
    <w:p>
      <w:pPr>
        <w:spacing w:after="100"/>
      </w:pPr>
      <w:r>
        <w:t xml:space="preserve">1. Objeto y alcance</w:t>
      </w:r>
    </w:p>
    <w:p>
      <w:pPr>
        <w:spacing w:after="100"/>
      </w:pPr>
      <w:r>
        <w:t xml:space="preserve">2. Parámetros del modelo y vigencias capturadas</w:t>
      </w:r>
    </w:p>
    <w:p>
      <w:pPr>
        <w:spacing w:after="100"/>
      </w:pPr>
      <w:r>
        <w:t xml:space="preserve">3. Información requerida por trabajador</w:t>
      </w:r>
    </w:p>
    <w:p>
      <w:pPr>
        <w:spacing w:after="100"/>
      </w:pPr>
      <w:r>
        <w:t xml:space="preserve">4. Determinación de percepciones</w:t>
      </w:r>
    </w:p>
    <w:p>
      <w:pPr>
        <w:spacing w:after="100"/>
      </w:pPr>
      <w:r>
        <w:t xml:space="preserve">5. Determinación del Impuesto Sobre la Renta (ISR) semanal</w:t>
      </w:r>
    </w:p>
    <w:p>
      <w:pPr>
        <w:spacing w:after="100"/>
      </w:pPr>
      <w:r>
        <w:t xml:space="preserve">6. Cuotas obrero-patronales del IMSS</w:t>
      </w:r>
    </w:p>
    <w:p>
      <w:pPr>
        <w:spacing w:after="100"/>
      </w:pPr>
      <w:r>
        <w:t xml:space="preserve">7. Descuento de crédito INFONAVIT</w:t>
      </w:r>
    </w:p>
    <w:p>
      <w:pPr>
        <w:spacing w:after="100"/>
      </w:pPr>
      <w:r>
        <w:t xml:space="preserve">8. Descuento de crédito FONACOT</w:t>
      </w:r>
    </w:p>
    <w:p>
      <w:pPr>
        <w:spacing w:after="100"/>
      </w:pPr>
      <w:r>
        <w:t xml:space="preserve">9. Determinación del neto pagado y complemento sindical</w:t>
      </w:r>
    </w:p>
    <w:p>
      <w:pPr>
        <w:spacing w:after="100"/>
      </w:pPr>
      <w:r>
        <w:t xml:space="preserve">10. Esquema Maquila / Sindicato</w:t>
      </w:r>
    </w:p>
    <w:p>
      <w:pPr>
        <w:spacing w:after="100"/>
      </w:pPr>
      <w:r>
        <w:t xml:space="preserve">11. Impuesto Sobre Nóminas (ISN)</w:t>
      </w:r>
    </w:p>
    <w:p>
      <w:pPr>
        <w:spacing w:after="100"/>
      </w:pPr>
      <w:r>
        <w:t xml:space="preserve">12. Integración del costo al cliente y conciliación</w:t>
      </w:r>
    </w:p>
    <w:p>
      <w:pPr>
        <w:spacing w:after="100"/>
      </w:pPr>
      <w:r>
        <w:t xml:space="preserve">13. Ajustes manuales, banderas y cierre del periodo</w:t>
      </w:r>
    </w:p>
    <w:p>
      <w:pPr>
        <w:spacing w:after="100"/>
      </w:pPr>
      <w:r>
        <w:t xml:space="preserve">14. Formulario de referencia rápida</w:t>
      </w:r>
    </w:p>
    <w:p>
      <w:pPr>
        <w:spacing w:after="100"/>
      </w:pPr>
      <w:r>
        <w:t xml:space="preserve">15. Glosario</w:t>
      </w:r>
    </w:p>
    <w:p>
      <w:r>
        <w:br w:type="page"/>
      </w:r>
    </w:p>
    <w:p>
      <w:pPr>
        <w:pStyle w:val="Heading1"/>
      </w:pPr>
      <w:r>
        <w:t xml:space="preserve">1. Objeto y alcance</w:t>
      </w:r>
    </w:p>
    <w:p>
      <w:pPr>
        <w:spacing w:after="100"/>
      </w:pPr>
      <w:r>
        <w:t xml:space="preserve">El presente documento describe la metodología para la determinación de cada concepto que integra una nómina semanal, alineada al modelo de cálculo operado actualmente. La guía permite efectuar los cálculos sin requerir apoyo en el archivo de cálculo.</w:t>
      </w:r>
    </w:p>
    <w:p>
      <w:pPr>
        <w:spacing w:after="100"/>
      </w:pPr>
      <w:r>
        <w:t xml:space="preserve">La guía mantiene coincidencia numérica con el modelo, salvo en los casos expresamente marcados como discrepancia o corrección manual, en los que se documenta tanto la fórmula que ejecuta el archivo como la fórmula normativa correcta.</w:t>
      </w:r>
    </w:p>
    <w:p>
      <w:pPr>
        <w:spacing w:after="100"/>
      </w:pPr>
      <w:r>
        <w:t xml:space="preserve">La estructura de cada sección comprende: definición del concepto, insumos requeridos, fórmula y procedimiento de cálculo, así como ejemplos numéricos resueltos. Los importes se trabajan a dos decimales y el redondeo se aplica únicamente al cierre de cada paso. Los porcentajes se expresan como decimales (16% = 0.16).</w:t>
      </w:r>
    </w:p>
    <w:p>
      <w:pPr>
        <w:pStyle w:val="Heading3"/>
      </w:pPr>
      <w:r>
        <w:t xml:space="preserve">Flujo general del proceso</w:t>
      </w:r>
    </w:p>
    <w:p>
      <w:pPr>
        <w:pStyle w:val="ListParagraph"/>
        <w:numPr>
          <w:ilvl w:val="0"/>
          <w:numId w:val="2"/>
        </w:numPr>
        <w:spacing w:after="60"/>
      </w:pPr>
      <w:r>
        <w:t xml:space="preserve">Captura de incidencias del periodo por trabajador.</w:t>
      </w:r>
    </w:p>
    <w:p>
      <w:pPr>
        <w:pStyle w:val="ListParagraph"/>
        <w:numPr>
          <w:ilvl w:val="0"/>
          <w:numId w:val="2"/>
        </w:numPr>
        <w:spacing w:after="60"/>
      </w:pPr>
      <w:r>
        <w:t xml:space="preserve">Determinación del bruto semanal.</w:t>
      </w:r>
    </w:p>
    <w:p>
      <w:pPr>
        <w:pStyle w:val="ListParagraph"/>
        <w:numPr>
          <w:ilvl w:val="0"/>
          <w:numId w:val="2"/>
        </w:numPr>
        <w:spacing w:after="60"/>
      </w:pPr>
      <w:r>
        <w:t xml:space="preserve">Cálculo del ISR semanal.</w:t>
      </w:r>
    </w:p>
    <w:p>
      <w:pPr>
        <w:pStyle w:val="ListParagraph"/>
        <w:numPr>
          <w:ilvl w:val="0"/>
          <w:numId w:val="2"/>
        </w:numPr>
        <w:spacing w:after="60"/>
      </w:pPr>
      <w:r>
        <w:t xml:space="preserve">Cálculo de cuotas obrero-patronales del IMSS.</w:t>
      </w:r>
    </w:p>
    <w:p>
      <w:pPr>
        <w:pStyle w:val="ListParagraph"/>
        <w:numPr>
          <w:ilvl w:val="0"/>
          <w:numId w:val="2"/>
        </w:numPr>
        <w:spacing w:after="60"/>
      </w:pPr>
      <w:r>
        <w:t xml:space="preserve">Aplicación de descuentos INFONAVIT y FONACOT cuando proceda.</w:t>
      </w:r>
    </w:p>
    <w:p>
      <w:pPr>
        <w:pStyle w:val="ListParagraph"/>
        <w:numPr>
          <w:ilvl w:val="0"/>
          <w:numId w:val="2"/>
        </w:numPr>
        <w:spacing w:after="60"/>
      </w:pPr>
      <w:r>
        <w:t xml:space="preserve">Determinación del neto pagado y, en su caso, del complemento sindical.</w:t>
      </w:r>
    </w:p>
    <w:p>
      <w:pPr>
        <w:pStyle w:val="ListParagraph"/>
        <w:numPr>
          <w:ilvl w:val="0"/>
          <w:numId w:val="2"/>
        </w:numPr>
        <w:spacing w:after="60"/>
      </w:pPr>
      <w:r>
        <w:t xml:space="preserve">Determinación del ISN, integración del costo al cliente y conciliación.</w:t>
      </w:r>
    </w:p>
    <w:p>
      <w:pPr>
        <w:pStyle w:val="ListParagraph"/>
        <w:numPr>
          <w:ilvl w:val="0"/>
          <w:numId w:val="2"/>
        </w:numPr>
        <w:spacing w:after="60"/>
      </w:pPr>
      <w:r>
        <w:t xml:space="preserve">Dispersión bancaria y cierre del periodo.</w:t>
      </w:r>
    </w:p>
    <w:p>
      <w:pPr>
        <w:pStyle w:val="Heading1"/>
      </w:pPr>
      <w:r>
        <w:t xml:space="preserve">2. Parámetros del modelo y vigencias capturadas</w:t>
      </w:r>
    </w:p>
    <w:p>
      <w:pPr>
        <w:spacing w:after="100"/>
      </w:pPr>
      <w:r>
        <w:t xml:space="preserve">Los siguientes parámetros se mantienen en el catálogo del modelo. Los valores reflejados en esta sección corresponden a los capturados en el archivo de cálculo y deben validarse al inicio de cada ejercicio o en la fecha de publicación de nueva tabla por la autoridad.</w:t>
      </w:r>
    </w:p>
    <w:p>
      <w:pPr>
        <w:pStyle w:val="Heading2"/>
      </w:pPr>
      <w:r>
        <w:t xml:space="preserve">2.1 Salarios mínimos vigentes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60"/>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Zona</w:t>
            </w:r>
          </w:p>
        </w:tc>
        <w:tc>
          <w:tcPr>
            <w:tcW w:type="dxa" w:w="215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Diario</w:t>
            </w:r>
          </w:p>
        </w:tc>
        <w:tc>
          <w:tcPr>
            <w:tcW w:type="dxa" w:w="215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Semanal (×7)</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Mensual (×30)</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 Centro del país</w:t>
            </w:r>
          </w:p>
        </w:tc>
        <w:tc>
          <w:tcPr>
            <w:tcW w:type="dxa" w:w="21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$315.04</w:t>
            </w:r>
          </w:p>
        </w:tc>
        <w:tc>
          <w:tcPr>
            <w:tcW w:type="dxa" w:w="21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$2,205.28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$9,451.20</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 – Zona Libre Frontera Norte</w:t>
            </w:r>
          </w:p>
        </w:tc>
        <w:tc>
          <w:tcPr>
            <w:tcW w:type="dxa" w:w="21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$440.87</w:t>
            </w:r>
          </w:p>
        </w:tc>
        <w:tc>
          <w:tcPr>
            <w:tcW w:type="dxa" w:w="215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$3,086.09</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$13,226.10</w:t>
            </w:r>
          </w:p>
        </w:tc>
      </w:tr>
    </w:tbl>
    <w:p>
      <w:pPr>
        <w:pStyle w:val="Heading2"/>
      </w:pPr>
      <w:r>
        <w:t xml:space="preserve">2.2 UMA – Unidad de Medida y Actualización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Periodicidad</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Valor</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Uso principal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Diaria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$113.14</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Topes exentos para aguinaldo (30·UMA) y prima vacacional (15·UMA); umbral 3·UMA para excedente IMSS.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Mensual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$3,394.20</w:t>
            </w:r>
          </w:p>
        </w:tc>
        <w:tc>
          <w:tcPr>
            <w:tcW w:type="dxa" w:w="5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Referencias para topes de IMSS e ISR.</w:t>
            </w:r>
          </w:p>
        </w:tc>
      </w:tr>
    </w:tbl>
    <w:p>
      <w:pPr>
        <w:pStyle w:val="Heading2"/>
      </w:pPr>
      <w:r>
        <w:t xml:space="preserve">2.3 UMI – Unidad Mixta INFONAVIT</w:t>
      </w:r>
    </w:p>
    <w:p>
      <w:pPr>
        <w:spacing w:after="100"/>
      </w:pPr>
      <w:r>
        <w:t xml:space="preserve">UMI diaria: $100.81. Aplica exclusivamente para créditos INFONAVIT cuyo aviso se expresa en Veces Salario Mínimo (VSM).</w:t>
      </w:r>
    </w:p>
    <w:p>
      <w:pPr>
        <w:pStyle w:val="Heading2"/>
      </w:pPr>
      <w:r>
        <w:t xml:space="preserve">2.4 Tabla del ISR del modelo (uso directo semanal)</w:t>
      </w:r>
    </w:p>
    <w:p>
      <w:pPr>
        <w:spacing w:after="100"/>
      </w:pPr>
      <w:r>
        <w:t xml:space="preserve">El modelo aplica la siguiente tabla en forma directa sobre la base gravable semanal, sin proyección previa a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Límite inferior</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Límite superior</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Cuota fija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 sobre excedente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0.01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194.46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0.00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1.92%</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194.47</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1,650.67</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3.71</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6.40%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1,650.68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2,900.87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96.95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10.88%</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2,900.88</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3,372.11</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232.96</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16.00%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3,372.12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4,037.32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308.35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17.92%</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4,037.33</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8,142.75</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427.56</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21.36%</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8,142.76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12,834.08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1,304.45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23.52%</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12,834.09</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24,502.45</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2,407.86</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24,502.46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32,669.91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5,908.35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32.00%</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32,669.92</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98,009.66</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8,521.94</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34.00%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98,009.67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 adelante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30,737.49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35.00%</w:t>
            </w:r>
          </w:p>
        </w:tc>
      </w:tr>
    </w:tbl>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El encabezado del catálogo identifica esta tabla como “Tabla mensual de ISR”, pero el motor del modelo la aplica directamente sobre la base semanal sin convertirla. La equivalencia con la tarifa oficial vigente debe verificarse al inicio del ejercicio.</w:t>
      </w:r>
    </w:p>
    <w:p>
      <w:pPr>
        <w:pStyle w:val="Heading2"/>
      </w:pPr>
      <w:r>
        <w:t xml:space="preserve">2.5 Tabla del subsidio al empleo (semanal)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Para ingresos semanales de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Hasta ingresos semanales de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Subsidio al empleo semanal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$0.01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$2,341.94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$109.29</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$2,341.95</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$999,999.99</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$0.00</w:t>
            </w:r>
          </w:p>
        </w:tc>
      </w:tr>
    </w:tbl>
    <w:p>
      <w:pPr>
        <w:pStyle w:val="Heading2"/>
      </w:pPr>
      <w:r>
        <w:t xml:space="preserve">2.6 Cuotas del IMSS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1880"/>
        <w:gridCol w:w="1680"/>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Ramo del seguro</w:t>
            </w:r>
          </w:p>
        </w:tc>
        <w:tc>
          <w:tcPr>
            <w:tcW w:type="dxa" w:w="2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Concepto</w:t>
            </w:r>
          </w:p>
        </w:tc>
        <w:tc>
          <w:tcPr>
            <w:tcW w:type="dxa" w:w="18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Patronal</w:t>
            </w:r>
          </w:p>
        </w:tc>
        <w:tc>
          <w:tcPr>
            <w:tcW w:type="dxa" w:w="1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Obrera</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Enfermedad y Maternidad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Cuota fija (sobre UMA)</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20.40%</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Enfermedad y Maternidad</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Excedente (SDI &gt; 3·UMA)</w:t>
            </w:r>
          </w:p>
        </w:tc>
        <w:tc>
          <w:tcPr>
            <w:tcW w:type="dxa" w:w="1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1.10%</w:t>
            </w:r>
          </w:p>
        </w:tc>
        <w:tc>
          <w:tcPr>
            <w:tcW w:type="dxa" w:w="1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0.40%</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Enfermedad y Maternidad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Prestaciones en Dinero</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0.70%</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0.25%</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Enfermedad y Maternidad</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GMP (Pensionados)</w:t>
            </w:r>
          </w:p>
        </w:tc>
        <w:tc>
          <w:tcPr>
            <w:tcW w:type="dxa" w:w="1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1.05%</w:t>
            </w:r>
          </w:p>
        </w:tc>
        <w:tc>
          <w:tcPr>
            <w:tcW w:type="dxa" w:w="1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0.375%</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Invalidez y Vida</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1.75%</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0.625%</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Guardería y Prestaciones Sociales</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1.00%</w:t>
            </w:r>
          </w:p>
        </w:tc>
        <w:tc>
          <w:tcPr>
            <w:tcW w:type="dxa" w:w="1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Retiro</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2.00%</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Cesantía y Vejez (CVR)</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Variable según SDI</w:t>
            </w:r>
          </w:p>
        </w:tc>
        <w:tc>
          <w:tcPr>
            <w:tcW w:type="dxa" w:w="1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3.150% – 7.513%</w:t>
            </w:r>
          </w:p>
        </w:tc>
        <w:tc>
          <w:tcPr>
            <w:tcW w:type="dxa" w:w="1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1.125%</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Riesgo de Trabajo</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Prima usada por el modelo</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2.5984%</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INFONAVIT Patronal</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5.00%</w:t>
            </w:r>
          </w:p>
        </w:tc>
        <w:tc>
          <w:tcPr>
            <w:tcW w:type="dxa" w:w="1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r>
    </w:tbl>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Prima de Riesgo de Trabajo: el modelo aplica la tasa configurada en el parámetro general (2.5984%, equivalente a PRT 1). El catálogo de registros patronales contiene tasas individuales (por ejemplo 1.13065%), pero éstas no son utilizadas por el motor de cálculo. La tasa aplicada debe corresponder a la determinación STPS vigente para la empresa.</w:t>
      </w:r>
    </w:p>
    <w:p>
      <w:pPr>
        <w:pStyle w:val="Heading2"/>
      </w:pPr>
      <w:r>
        <w:t xml:space="preserve">2.7 Tabla CVR – Cesantía y Vejez Patronal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SDI en UMAs</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 Patronal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a 1.00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3.150%</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1.01 a 1.50</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3.676%</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1.51 a 2.00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4.851%</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2.01 a 2.50</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5.556%</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2.51 a 3.00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6.026%</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3.01 a 3.50</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6.361%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3.51 a 4.00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6.613%</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4.01 a 25.00 (tope)</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7.513%</w:t>
            </w:r>
          </w:p>
        </w:tc>
      </w:tr>
    </w:tbl>
    <w:p>
      <w:pPr>
        <w:pStyle w:val="Heading2"/>
      </w:pPr>
      <w:r>
        <w:t xml:space="preserve">2.8 Impuesto Sobre Nóminas (ISN)</w:t>
      </w:r>
    </w:p>
    <w:p>
      <w:pPr>
        <w:spacing w:after="100"/>
      </w:pPr>
      <w:r>
        <w:t xml:space="preserve">El ISN es estatal y varía por entidad federativa. En el esquema del modelo se aplica:</w:t>
      </w:r>
    </w:p>
    <w:p>
      <w:pPr>
        <w:pStyle w:val="ListParagraph"/>
        <w:numPr>
          <w:ilvl w:val="0"/>
          <w:numId w:val="3"/>
        </w:numPr>
        <w:spacing w:after="60"/>
      </w:pPr>
      <w:r>
        <w:t xml:space="preserve">4.00% para trabajadores ubicados en Zona A (Centro).</w:t>
      </w:r>
    </w:p>
    <w:p>
      <w:pPr>
        <w:pStyle w:val="ListParagraph"/>
        <w:numPr>
          <w:ilvl w:val="0"/>
          <w:numId w:val="3"/>
        </w:numPr>
        <w:spacing w:after="60"/>
      </w:pPr>
      <w:r>
        <w:t xml:space="preserve">4.25% para trabajadores ubicados en Zona B (Frontera Norte).</w:t>
      </w:r>
    </w:p>
    <w:p>
      <w:r>
        <w:br w:type="page"/>
      </w:r>
    </w:p>
    <w:p>
      <w:pPr>
        <w:pStyle w:val="Heading1"/>
      </w:pPr>
      <w:r>
        <w:t xml:space="preserve">3. Información requerida por trabajador</w:t>
      </w:r>
    </w:p>
    <w:p>
      <w:pPr>
        <w:pStyle w:val="Heading3"/>
      </w:pPr>
      <w:r>
        <w:t xml:space="preserve">3.1 Datos permanentes</w:t>
      </w:r>
    </w:p>
    <w:p>
      <w:pPr>
        <w:pStyle w:val="ListParagraph"/>
        <w:numPr>
          <w:ilvl w:val="0"/>
          <w:numId w:val="3"/>
        </w:numPr>
        <w:spacing w:after="60"/>
      </w:pPr>
      <w:r>
        <w:t xml:space="preserve">Clave o Número de Trabajador (NOI).</w:t>
      </w:r>
    </w:p>
    <w:p>
      <w:pPr>
        <w:pStyle w:val="ListParagraph"/>
        <w:numPr>
          <w:ilvl w:val="0"/>
          <w:numId w:val="3"/>
        </w:numPr>
        <w:spacing w:after="60"/>
      </w:pPr>
      <w:r>
        <w:t xml:space="preserve">Nombre completo, RFC, CURP y Número de Seguridad Social (NSS).</w:t>
      </w:r>
    </w:p>
    <w:p>
      <w:pPr>
        <w:pStyle w:val="ListParagraph"/>
        <w:numPr>
          <w:ilvl w:val="0"/>
          <w:numId w:val="3"/>
        </w:numPr>
        <w:spacing w:after="60"/>
      </w:pPr>
      <w:r>
        <w:t xml:space="preserve">Fecha de alta y antigüedad.</w:t>
      </w:r>
    </w:p>
    <w:p>
      <w:pPr>
        <w:pStyle w:val="ListParagraph"/>
        <w:numPr>
          <w:ilvl w:val="0"/>
          <w:numId w:val="3"/>
        </w:numPr>
        <w:spacing w:after="60"/>
      </w:pPr>
      <w:r>
        <w:t xml:space="preserve">Zona económica del centro de trabajo (A o B).</w:t>
      </w:r>
    </w:p>
    <w:p>
      <w:pPr>
        <w:pStyle w:val="ListParagraph"/>
        <w:numPr>
          <w:ilvl w:val="0"/>
          <w:numId w:val="3"/>
        </w:numPr>
        <w:spacing w:after="60"/>
      </w:pPr>
      <w:r>
        <w:t xml:space="preserve">Sueldo semanal pactado.</w:t>
      </w:r>
    </w:p>
    <w:p>
      <w:pPr>
        <w:pStyle w:val="ListParagraph"/>
        <w:numPr>
          <w:ilvl w:val="0"/>
          <w:numId w:val="3"/>
        </w:numPr>
        <w:spacing w:after="60"/>
      </w:pPr>
      <w:r>
        <w:t xml:space="preserve">Salario Diario Integrado (SDI) registrado ante el IMSS.</w:t>
      </w:r>
    </w:p>
    <w:p>
      <w:pPr>
        <w:pStyle w:val="ListParagraph"/>
        <w:numPr>
          <w:ilvl w:val="0"/>
          <w:numId w:val="3"/>
        </w:numPr>
        <w:spacing w:after="60"/>
      </w:pPr>
      <w:r>
        <w:t xml:space="preserve">Registro patronal y prima de riesgo aplicable.</w:t>
      </w:r>
    </w:p>
    <w:p>
      <w:pPr>
        <w:pStyle w:val="ListParagraph"/>
        <w:numPr>
          <w:ilvl w:val="0"/>
          <w:numId w:val="3"/>
        </w:numPr>
        <w:spacing w:after="60"/>
      </w:pPr>
      <w:r>
        <w:t xml:space="preserve">Datos del crédito INFONAVIT (cuando exista).</w:t>
      </w:r>
    </w:p>
    <w:p>
      <w:pPr>
        <w:pStyle w:val="ListParagraph"/>
        <w:numPr>
          <w:ilvl w:val="0"/>
          <w:numId w:val="3"/>
        </w:numPr>
        <w:spacing w:after="60"/>
      </w:pPr>
      <w:r>
        <w:t xml:space="preserve">Datos del crédito FONACOT (cuando exista).</w:t>
      </w:r>
    </w:p>
    <w:p>
      <w:pPr>
        <w:pStyle w:val="Heading3"/>
      </w:pPr>
      <w:r>
        <w:t xml:space="preserve">3.2 Datos del periodo</w:t>
      </w:r>
    </w:p>
    <w:p>
      <w:pPr>
        <w:pStyle w:val="ListParagraph"/>
        <w:numPr>
          <w:ilvl w:val="0"/>
          <w:numId w:val="3"/>
        </w:numPr>
        <w:spacing w:after="60"/>
      </w:pPr>
      <w:r>
        <w:t xml:space="preserve">Días del periodo (siete días en nómina semanal).</w:t>
      </w:r>
    </w:p>
    <w:p>
      <w:pPr>
        <w:pStyle w:val="ListParagraph"/>
        <w:numPr>
          <w:ilvl w:val="0"/>
          <w:numId w:val="3"/>
        </w:numPr>
        <w:spacing w:after="60"/>
      </w:pPr>
      <w:r>
        <w:t xml:space="preserve">Días de vacaciones, ausentismos e incapacidades.</w:t>
      </w:r>
    </w:p>
    <w:p>
      <w:pPr>
        <w:pStyle w:val="ListParagraph"/>
        <w:numPr>
          <w:ilvl w:val="0"/>
          <w:numId w:val="3"/>
        </w:numPr>
        <w:spacing w:after="60"/>
      </w:pPr>
      <w:r>
        <w:t xml:space="preserve">Cantidad de días festivos laborados.</w:t>
      </w:r>
    </w:p>
    <w:p>
      <w:pPr>
        <w:pStyle w:val="ListParagraph"/>
        <w:numPr>
          <w:ilvl w:val="0"/>
          <w:numId w:val="3"/>
        </w:numPr>
        <w:spacing w:after="60"/>
      </w:pPr>
      <w:r>
        <w:t xml:space="preserve">Cantidad de horas extras dobles y triples.</w:t>
      </w:r>
    </w:p>
    <w:p>
      <w:pPr>
        <w:pStyle w:val="ListParagraph"/>
        <w:numPr>
          <w:ilvl w:val="0"/>
          <w:numId w:val="3"/>
        </w:numPr>
        <w:spacing w:after="60"/>
      </w:pPr>
      <w:r>
        <w:t xml:space="preserve">Cantidad de domingos trabajados (prima dominical).</w:t>
      </w:r>
    </w:p>
    <w:p>
      <w:pPr>
        <w:pStyle w:val="ListParagraph"/>
        <w:numPr>
          <w:ilvl w:val="0"/>
          <w:numId w:val="3"/>
        </w:numPr>
        <w:spacing w:after="60"/>
      </w:pPr>
      <w:r>
        <w:t xml:space="preserve">Bonos, gratificaciones, reembolsos y otros conceptos.</w:t>
      </w:r>
    </w:p>
    <w:p>
      <w:pPr>
        <w:pStyle w:val="ListParagraph"/>
        <w:numPr>
          <w:ilvl w:val="0"/>
          <w:numId w:val="3"/>
        </w:numPr>
        <w:spacing w:after="60"/>
      </w:pPr>
      <w:r>
        <w:t xml:space="preserve">Pago por teletrabajo, cuando aplique.</w:t>
      </w:r>
    </w:p>
    <w:p>
      <w:pPr>
        <w:pStyle w:val="ListParagraph"/>
        <w:numPr>
          <w:ilvl w:val="0"/>
          <w:numId w:val="3"/>
        </w:numPr>
        <w:spacing w:after="60"/>
      </w:pPr>
      <w:r>
        <w:t xml:space="preserve">Descuentos del periodo: cafetería, horas, otros y préstamos personales.</w:t>
      </w:r>
    </w:p>
    <w:p>
      <w:pPr>
        <w:pStyle w:val="ListParagraph"/>
        <w:numPr>
          <w:ilvl w:val="0"/>
          <w:numId w:val="3"/>
        </w:numPr>
        <w:spacing w:after="60"/>
      </w:pPr>
      <w:r>
        <w:t xml:space="preserve">Importe de finiquito, cuando proceda.</w:t>
      </w:r>
    </w:p>
    <w:p>
      <w:r>
        <w:br w:type="page"/>
      </w:r>
    </w:p>
    <w:p>
      <w:pPr>
        <w:pStyle w:val="Heading1"/>
      </w:pPr>
      <w:r>
        <w:t xml:space="preserve">4. Determinación de percepciones</w:t>
      </w:r>
    </w:p>
    <w:p>
      <w:pPr>
        <w:spacing w:after="100"/>
      </w:pPr>
      <w:r>
        <w:t xml:space="preserve">Las percepciones comprenden los conceptos que suman al pago del trabajador. La mayoría se obtienen a partir del salario diario y los días efectivamente laborados. El resultado de esta sección es el importe bruto del trabajador, previo a las deducciones.</w:t>
      </w:r>
    </w:p>
    <w:p>
      <w:pPr>
        <w:pStyle w:val="Heading2"/>
      </w:pPr>
      <w:r>
        <w:t xml:space="preserve">4.1 Salario diario real</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Salario Diario  =  Sueldo Semanal Pactado  /  7</w:t>
      </w:r>
    </w:p>
    <w:p>
      <w:pPr>
        <w:pBdr>
          <w:top w:val="single" w:color="BFBFBF" w:sz="4"/>
          <w:bottom w:val="single" w:color="BFBFBF" w:sz="4"/>
          <w:left w:val="single" w:color="BFBFBF" w:sz="4"/>
          <w:right w:val="single" w:color="BFBFBF" w:sz="4"/>
        </w:pBdr>
        <w:shd w:fill="E2EFDA" w:val="clear"/>
        <w:spacing w:after="140" w:before="80"/>
      </w:pPr>
      <w:r>
        <w:rPr>
          <w:b/>
          <w:bCs/>
          <w:sz w:val="20"/>
          <w:szCs w:val="20"/>
        </w:rPr>
        <w:t xml:space="preserve">Ejemplo:
</w:t>
      </w:r>
      <w:r>
        <w:rPr>
          <w:rFonts w:ascii="Consolas" w:cs="Consolas" w:eastAsia="Consolas" w:hAnsi="Consolas"/>
          <w:sz w:val="20"/>
          <w:szCs w:val="20"/>
        </w:rPr>
        <w:br/>
        <w:t xml:space="preserve">Sueldo semanal pactado:  $11,538.46</w:t>
      </w:r>
      <w:r>
        <w:rPr>
          <w:rFonts w:ascii="Consolas" w:cs="Consolas" w:eastAsia="Consolas" w:hAnsi="Consolas"/>
          <w:sz w:val="20"/>
          <w:szCs w:val="20"/>
        </w:rPr>
        <w:br/>
        <w:t xml:space="preserve">Salario diario          = 11,538.46 / 7  =  $1,648.35</w:t>
      </w:r>
    </w:p>
    <w:p>
      <w:pPr>
        <w:pStyle w:val="Heading2"/>
      </w:pPr>
      <w:r>
        <w:t xml:space="preserve">4.2 Días efectivamente trabajados</w:t>
      </w:r>
    </w:p>
    <w:p>
      <w:pPr>
        <w:spacing w:after="100"/>
      </w:pPr>
      <w:r>
        <w:t xml:space="preserve">La fórmula depende del esquema de aplicación de faltas establecido por la empresa, controlado por una bandera de operación (sección 13).</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Modo Normal:           Días Trabajados = Días Periodo − Ausentismos − Vacaciones − Incapacidades</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Modo Proporcional:    Días Trabajados = Días Periodo − (Ausentismos × 7/6) − Vacaciones − Incapacidades</w:t>
      </w:r>
    </w:p>
    <w:p>
      <w:pPr>
        <w:pBdr>
          <w:top w:val="single" w:color="BFBFBF" w:sz="4"/>
          <w:bottom w:val="single" w:color="BFBFBF" w:sz="4"/>
          <w:left w:val="single" w:color="BFBFBF" w:sz="4"/>
          <w:right w:val="single" w:color="BFBFBF" w:sz="4"/>
        </w:pBdr>
        <w:shd w:fill="DEEBF7" w:val="clear"/>
        <w:spacing w:after="140" w:before="60"/>
      </w:pPr>
      <w:r>
        <w:rPr>
          <w:b/>
          <w:bCs/>
          <w:sz w:val="20"/>
          <w:szCs w:val="20"/>
        </w:rPr>
        <w:t xml:space="preserve">Nota: </w:t>
      </w:r>
      <w:r>
        <w:rPr>
          <w:i/>
          <w:iCs/>
          <w:sz w:val="20"/>
          <w:szCs w:val="20"/>
        </w:rPr>
        <w:t xml:space="preserve">El factor 7/6 ≈ 1.1667 castiga al trabajador con la pérdida del séptimo día (descanso) por cada ausencia entre semana.</w:t>
      </w:r>
    </w:p>
    <w:p>
      <w:pPr>
        <w:pStyle w:val="Heading2"/>
      </w:pPr>
      <w:r>
        <w:t xml:space="preserve">4.3 Sueldo del periodo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Sueldo  =  Salario Diario  ×  Días Trabajados</w:t>
      </w:r>
    </w:p>
    <w:p>
      <w:pPr>
        <w:pStyle w:val="Heading2"/>
      </w:pPr>
      <w:r>
        <w:t xml:space="preserve">4.4 Vacaciones y prima vacacional</w:t>
      </w:r>
    </w:p>
    <w:p>
      <w:pPr>
        <w:spacing w:after="100"/>
      </w:pPr>
      <w:r>
        <w:t xml:space="preserve">Cuando el trabajador disfruta de vacaciones, los días tomados se pagan como salario ordinario y se adiciona una prima vacacional del 25% sobre dicho importe.</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Pago de Vacaciones  =  Días de Vacaciones  ×  Salario Diario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Prima Vacacional    =  Pago de Vacaciones  ×  25%</w:t>
      </w:r>
    </w:p>
    <w:p>
      <w:pPr>
        <w:pBdr>
          <w:top w:val="single" w:color="BFBFBF" w:sz="4"/>
          <w:bottom w:val="single" w:color="BFBFBF" w:sz="4"/>
          <w:left w:val="single" w:color="BFBFBF" w:sz="4"/>
          <w:right w:val="single" w:color="BFBFBF" w:sz="4"/>
        </w:pBdr>
        <w:shd w:fill="DEEBF7" w:val="clear"/>
        <w:spacing w:after="140" w:before="60"/>
      </w:pPr>
      <w:r>
        <w:rPr>
          <w:b/>
          <w:bCs/>
          <w:sz w:val="20"/>
          <w:szCs w:val="20"/>
        </w:rPr>
        <w:t xml:space="preserve">Nota: </w:t>
      </w:r>
      <w:r>
        <w:rPr>
          <w:i/>
          <w:iCs/>
          <w:sz w:val="20"/>
          <w:szCs w:val="20"/>
        </w:rPr>
        <w:t xml:space="preserve">La prima vacacional como percepción se calcula sobre el importe pagado por las vacaciones. Para efectos del ISR (sección 5), no se grava esta prima en su totalidad, sino sólo su excedente respecto del tope exento de 15·UMA diaria.</w:t>
      </w:r>
    </w:p>
    <w:p>
      <w:pPr>
        <w:pStyle w:val="Heading2"/>
      </w:pPr>
      <w:r>
        <w:t xml:space="preserve">4.5 Días festivos laborados</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Importe Festivo  =  Cantidad de Festivos  ×  Salario Diario  ×  2</w:t>
      </w:r>
    </w:p>
    <w:p>
      <w:pPr>
        <w:pStyle w:val="Heading2"/>
      </w:pPr>
      <w:r>
        <w:t xml:space="preserve">4.6 Horas extras dobles y triples</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Salario por Hora     =  Salario Diario  /  8</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Importe Hora Doble   =  Salario por Hora  ×  2  ×  Cantidad Horas Dobles</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Importe Hora Triple  =  Salario por Hora  ×  3  ×  Cantidad Horas Triples</w:t>
      </w:r>
    </w:p>
    <w:p>
      <w:pPr>
        <w:pStyle w:val="Heading2"/>
      </w:pPr>
      <w:r>
        <w:t xml:space="preserve">4.7 Prima dominical</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Prima Dominical  =  Salario Diario  ×  25%  ×  Cantidad de Domingos Trabajados</w:t>
      </w:r>
    </w:p>
    <w:p>
      <w:pPr>
        <w:pStyle w:val="Heading2"/>
      </w:pPr>
      <w:r>
        <w:t xml:space="preserve">4.8 Bonos, gratificaciones, reembolsos y teletrabajo</w:t>
      </w:r>
    </w:p>
    <w:p>
      <w:pPr>
        <w:pStyle w:val="ListParagraph"/>
        <w:numPr>
          <w:ilvl w:val="0"/>
          <w:numId w:val="3"/>
        </w:numPr>
        <w:spacing w:after="60"/>
      </w:pPr>
      <w:r>
        <w:t xml:space="preserve">Gratificaciones y bonos: importes fijos asignados por puesto o desempeño.</w:t>
      </w:r>
    </w:p>
    <w:p>
      <w:pPr>
        <w:pStyle w:val="ListParagraph"/>
        <w:numPr>
          <w:ilvl w:val="0"/>
          <w:numId w:val="3"/>
        </w:numPr>
        <w:spacing w:after="60"/>
      </w:pPr>
      <w:r>
        <w:t xml:space="preserve">Reembolsos: importes anticipados por el trabajador y devueltos por la empresa.</w:t>
      </w:r>
    </w:p>
    <w:p>
      <w:pPr>
        <w:pStyle w:val="ListParagraph"/>
        <w:numPr>
          <w:ilvl w:val="0"/>
          <w:numId w:val="3"/>
        </w:numPr>
        <w:spacing w:after="60"/>
      </w:pPr>
      <w:r>
        <w:t xml:space="preserve">Teletrabajo: apoyo conforme a la política interna de la empresa.</w:t>
      </w:r>
    </w:p>
    <w:p>
      <w:pPr>
        <w:pStyle w:val="ListParagraph"/>
        <w:numPr>
          <w:ilvl w:val="0"/>
          <w:numId w:val="3"/>
        </w:numPr>
        <w:spacing w:after="60"/>
      </w:pPr>
      <w:r>
        <w:t xml:space="preserve">Finiquito: aplica únicamente en la última nómina del trabajador.</w:t>
      </w:r>
    </w:p>
    <w:p>
      <w:pPr>
        <w:pStyle w:val="Heading2"/>
      </w:pPr>
      <w:r>
        <w:t xml:space="preserve">4.9 Descuentos personales del periodo</w:t>
      </w:r>
    </w:p>
    <w:p>
      <w:pPr>
        <w:pStyle w:val="ListParagraph"/>
        <w:numPr>
          <w:ilvl w:val="0"/>
          <w:numId w:val="3"/>
        </w:numPr>
        <w:spacing w:after="60"/>
      </w:pPr>
      <w:r>
        <w:t xml:space="preserve">Gastos de cafetería.</w:t>
      </w:r>
    </w:p>
    <w:p>
      <w:pPr>
        <w:pStyle w:val="ListParagraph"/>
        <w:numPr>
          <w:ilvl w:val="0"/>
          <w:numId w:val="3"/>
        </w:numPr>
        <w:spacing w:after="60"/>
      </w:pPr>
      <w:r>
        <w:t xml:space="preserve">Horas descontadas:  Importe = (Salario Diario / 8) × Cantidad de Horas.</w:t>
      </w:r>
    </w:p>
    <w:p>
      <w:pPr>
        <w:pStyle w:val="ListParagraph"/>
        <w:numPr>
          <w:ilvl w:val="0"/>
          <w:numId w:val="3"/>
        </w:numPr>
        <w:spacing w:after="60"/>
      </w:pPr>
      <w:r>
        <w:t xml:space="preserve">Otros descuentos varios.</w:t>
      </w:r>
    </w:p>
    <w:p>
      <w:pPr>
        <w:pStyle w:val="ListParagraph"/>
        <w:numPr>
          <w:ilvl w:val="0"/>
          <w:numId w:val="3"/>
        </w:numPr>
        <w:spacing w:after="60"/>
      </w:pPr>
      <w:r>
        <w:t xml:space="preserve">Préstamos personales.</w:t>
      </w:r>
    </w:p>
    <w:p>
      <w:pPr>
        <w:pStyle w:val="Heading2"/>
      </w:pPr>
      <w:r>
        <w:t xml:space="preserve">4.10 Total bruto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Bruto  =  Sueldo + Vacaciones + Prima Vacacional + Festivo + Horas Dobles + Horas Triples
        + Prima Dominical + Gratificación + Reembolsos + Teletrabajo + Finiquito
       −  Cafetería − Horas Descontadas − Otros Descuentos − Préstamo Personal</w:t>
      </w:r>
    </w:p>
    <w:p>
      <w:r>
        <w:br w:type="page"/>
      </w:r>
    </w:p>
    <w:p>
      <w:pPr>
        <w:pStyle w:val="Heading1"/>
      </w:pPr>
      <w:r>
        <w:t xml:space="preserve">5. Determinación del Impuesto Sobre la Renta (ISR) semanal</w:t>
      </w:r>
    </w:p>
    <w:p>
      <w:pPr>
        <w:spacing w:after="100"/>
      </w:pPr>
      <w:r>
        <w:t xml:space="preserve">El modelo aplica el ISR como cálculo semanal directo, utilizando la tabla del catálogo sobre la base semanal del trabajador. No se proyecta a base mensual ni se des-proyecta. El subsidio al empleo se consulta en su propia tabla semanal y se descuenta del impuesto determinado.</w:t>
      </w:r>
    </w:p>
    <w:p>
      <w:pPr>
        <w:pStyle w:val="Heading2"/>
      </w:pPr>
      <w:r>
        <w:t xml:space="preserve">Procedimiento</w:t>
      </w:r>
    </w:p>
    <w:p>
      <w:pPr>
        <w:pStyle w:val="ListParagraph"/>
        <w:numPr>
          <w:ilvl w:val="0"/>
          <w:numId w:val="2"/>
        </w:numPr>
        <w:spacing w:after="60"/>
      </w:pPr>
      <w:r>
        <w:t xml:space="preserve">Determinar la base gravable semanal.</w:t>
      </w:r>
    </w:p>
    <w:p>
      <w:pPr>
        <w:pStyle w:val="ListParagraph"/>
        <w:numPr>
          <w:ilvl w:val="0"/>
          <w:numId w:val="2"/>
        </w:numPr>
        <w:spacing w:after="60"/>
      </w:pPr>
      <w:r>
        <w:t xml:space="preserve">Ubicar el rango correspondiente en la tabla del ISR.</w:t>
      </w:r>
    </w:p>
    <w:p>
      <w:pPr>
        <w:pStyle w:val="ListParagraph"/>
        <w:numPr>
          <w:ilvl w:val="0"/>
          <w:numId w:val="2"/>
        </w:numPr>
        <w:spacing w:after="60"/>
      </w:pPr>
      <w:r>
        <w:t xml:space="preserve">Calcular el impuesto determinado: Cuota Fija + (Excedente × % sobre excedente).</w:t>
      </w:r>
    </w:p>
    <w:p>
      <w:pPr>
        <w:pStyle w:val="ListParagraph"/>
        <w:numPr>
          <w:ilvl w:val="0"/>
          <w:numId w:val="2"/>
        </w:numPr>
        <w:spacing w:after="60"/>
      </w:pPr>
      <w:r>
        <w:t xml:space="preserve">Consultar el subsidio al empleo semanal.</w:t>
      </w:r>
    </w:p>
    <w:p>
      <w:pPr>
        <w:pStyle w:val="ListParagraph"/>
        <w:numPr>
          <w:ilvl w:val="0"/>
          <w:numId w:val="2"/>
        </w:numPr>
        <w:spacing w:after="60"/>
      </w:pPr>
      <w:r>
        <w:t xml:space="preserve">Calcular el ISR retenido = Impuesto Determinado − Subsidio al Empleo. Si el resultado es negativo, el ISR retenido es cero.</w:t>
      </w:r>
    </w:p>
    <w:p>
      <w:pPr>
        <w:pStyle w:val="Heading2"/>
      </w:pPr>
      <w:r>
        <w:t xml:space="preserve">5.1 Base gravable semanal</w:t>
      </w:r>
    </w:p>
    <w:p>
      <w:pPr>
        <w:spacing w:after="100"/>
      </w:pPr>
      <w:r>
        <w:t xml:space="preserve">La base gravable se integra con los conceptos efectivamente gravables del recibo: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Base Gravable Semanal  =  Sueldo Gravable
                       +  Vacaciones Gravables
                       +  Excedente de Aguinaldo
                       +  Excedente de Prima Vacacional
                       +  Gratificación Gravable</w:t>
      </w:r>
    </w:p>
    <w:p>
      <w:pPr>
        <w:pStyle w:val="Heading3"/>
      </w:pPr>
      <w:r>
        <w:t xml:space="preserve">5.1.1 Excedente de aguinaldo</w:t>
      </w:r>
    </w:p>
    <w:p>
      <w:pPr>
        <w:spacing w:after="100"/>
      </w:pPr>
      <w:r>
        <w:t xml:space="preserve">El aguinaldo se encuentra exento de ISR hasta 30·UMA diaria; sólo el excedente sobre dicho tope integra la base gravable. En este concepto existe una discrepancia entre la fórmula que ejecuta el modelo y la fórmula normativa, por lo que se documentan ambas.</w:t>
      </w:r>
    </w:p>
    <w:p>
      <w:pPr>
        <w:pBdr>
          <w:top w:val="single" w:color="BFBFBF" w:sz="4"/>
          <w:bottom w:val="single" w:color="BFBFBF" w:sz="4"/>
          <w:left w:val="single" w:color="BFBFBF" w:sz="4"/>
          <w:right w:val="single" w:color="BFBFBF" w:sz="4"/>
        </w:pBdr>
        <w:shd w:fill="E7E6E6" w:val="clear"/>
        <w:spacing w:after="60" w:before="80"/>
      </w:pPr>
      <w:r>
        <w:rPr>
          <w:b/>
          <w:bCs/>
          <w:sz w:val="20"/>
          <w:szCs w:val="20"/>
        </w:rPr>
        <w:t xml:space="preserve">Fórmula que ejecuta el modelo actualmente (para coincidencia numérica con el archivo):
</w:t>
      </w:r>
      <w:r>
        <w:rPr>
          <w:rFonts w:ascii="Cambria Math" w:cs="Cambria Math" w:eastAsia="Cambria Math" w:hAnsi="Cambria Math"/>
          <w:b/>
          <w:bCs/>
          <w:sz w:val="22"/>
          <w:szCs w:val="22"/>
        </w:rPr>
        <w:br/>
        <w:t xml:space="preserve">Si Aguinaldo &gt; 30·UMA diaria:  Excedente = (30 × UMA diaria) − Aguinaldo     [resultado negativo]
En caso contrario:              Excedente = 0</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Fórmula normativa correcta:  Excedente de Aguinaldo = MAX( Aguinaldo − (30 × UMA diaria) , 0 )</w:t>
      </w:r>
    </w:p>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La fórmula del modelo tiene el signo invertido: cuando el aguinaldo supera el tope exento, calcula (tope − aguinaldo), generando una base negativa que subdeclara el ISR. Mientras se reproduzcan los resultados del archivo, el cálculo coincidirá con éste (aun siendo erróneo). Para un cálculo fiscalmente correcto debe corregirse la fórmula en el modelo o sobrescribirse manualmente conforme a la fórmula normativa. En la práctica, este concepto sólo afecta a nóminas que incluyan pago de aguinaldo superior a 30·UMA diaria; en una semana ordinaria sin aguinaldo, ambas fórmulas devuelven cero.</w:t>
      </w:r>
    </w:p>
    <w:p>
      <w:pPr>
        <w:pStyle w:val="Heading3"/>
      </w:pPr>
      <w:r>
        <w:t xml:space="preserve">5.1.2 Excedente de prima vacacional</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Excedente de Prima Vacacional  =  MAX( Prima Vacacional  −  (15 × UMA diaria) , 0 )</w:t>
      </w:r>
    </w:p>
    <w:p>
      <w:pPr>
        <w:pBdr>
          <w:top w:val="single" w:color="BFBFBF" w:sz="4"/>
          <w:bottom w:val="single" w:color="BFBFBF" w:sz="4"/>
          <w:left w:val="single" w:color="BFBFBF" w:sz="4"/>
          <w:right w:val="single" w:color="BFBFBF" w:sz="4"/>
        </w:pBdr>
        <w:shd w:fill="DEEBF7" w:val="clear"/>
        <w:spacing w:after="140" w:before="60"/>
      </w:pPr>
      <w:r>
        <w:rPr>
          <w:b/>
          <w:bCs/>
          <w:sz w:val="20"/>
          <w:szCs w:val="20"/>
        </w:rPr>
        <w:t xml:space="preserve">Nota: </w:t>
      </w:r>
      <w:r>
        <w:rPr>
          <w:i/>
          <w:iCs/>
          <w:sz w:val="20"/>
          <w:szCs w:val="20"/>
        </w:rPr>
        <w:t xml:space="preserve">A diferencia del aguinaldo, este concepto está correctamente implementado en el modelo con el signo adecuado.</w:t>
      </w:r>
    </w:p>
    <w:p>
      <w:pPr>
        <w:pStyle w:val="Heading3"/>
      </w:pPr>
      <w:r>
        <w:t xml:space="preserve">5.1.3 Gratificación gravable</w:t>
      </w:r>
    </w:p>
    <w:p>
      <w:pPr>
        <w:spacing w:after="100"/>
      </w:pPr>
      <w:r>
        <w:t xml:space="preserve">La gratificación (o bono fijo) se incorpora a la base gravable al 100%.</w:t>
      </w:r>
    </w:p>
    <w:p>
      <w:pPr>
        <w:pStyle w:val="Heading2"/>
      </w:pPr>
      <w:r>
        <w:t xml:space="preserve">5.2 Impuesto determinado semanal</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Impuesto Marginal     =  (Base Gravable Semanal − Límite Inferior)  ×  % sobre excedente
Impuesto Determinado  =  Cuota Fija + Impuesto Marginal</w:t>
      </w:r>
    </w:p>
    <w:p>
      <w:pPr>
        <w:pStyle w:val="Heading2"/>
      </w:pPr>
      <w:r>
        <w:t xml:space="preserve">5.3 Subsidio al empleo y ISR retenido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ISR Retenido  =  Impuesto Determinado  −  Subsidio al Empleo Semanal
Si el resultado es negativo  →  ISR Retenido = 0  (sin pago de subsidio al trabajador)</w:t>
      </w:r>
    </w:p>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El modelo no entrega el subsidio causado al trabajador cuando éste supera al impuesto: fija el ISR retenido en cero. Las disposiciones fiscales sí permiten acreditar o pagar el subsidio excedente; cuando corresponda otorgarlo, deberá habilitarse fuera del modelo.</w:t>
      </w:r>
    </w:p>
    <w:p>
      <w:pPr>
        <w:pStyle w:val="Heading2"/>
      </w:pPr>
      <w:r>
        <w:t xml:space="preserve">5.4 Excepción por salario mínimo</w:t>
      </w:r>
    </w:p>
    <w:p>
      <w:pPr>
        <w:spacing w:after="100"/>
      </w:pPr>
      <w:r>
        <w:t xml:space="preserve">Cuando el Salario Diario del trabajador resulta menor o igual al Salario Mínimo de su zona, no se retiene ISR.</w:t>
      </w:r>
    </w:p>
    <w:p>
      <w:pPr>
        <w:pStyle w:val="Heading2"/>
      </w:pPr>
      <w:r>
        <w:t xml:space="preserve">5.5 Ejemplo integral</w:t>
      </w:r>
    </w:p>
    <w:p>
      <w:pPr>
        <w:pBdr>
          <w:top w:val="single" w:color="BFBFBF" w:sz="4"/>
          <w:bottom w:val="single" w:color="BFBFBF" w:sz="4"/>
          <w:left w:val="single" w:color="BFBFBF" w:sz="4"/>
          <w:right w:val="single" w:color="BFBFBF" w:sz="4"/>
        </w:pBdr>
        <w:shd w:fill="E2EFDA" w:val="clear"/>
        <w:spacing w:after="140" w:before="80"/>
      </w:pPr>
      <w:r>
        <w:rPr>
          <w:b/>
          <w:bCs/>
          <w:sz w:val="20"/>
          <w:szCs w:val="20"/>
        </w:rPr>
        <w:t xml:space="preserve">Trabajador con SD $440.87, 7 días trabajados, sin vacaciones ni bonos:
</w:t>
      </w:r>
      <w:r>
        <w:rPr>
          <w:rFonts w:ascii="Consolas" w:cs="Consolas" w:eastAsia="Consolas" w:hAnsi="Consolas"/>
          <w:sz w:val="20"/>
          <w:szCs w:val="20"/>
        </w:rPr>
        <w:br/>
        <w:t xml:space="preserve">Paso 1 – Base gravable semanal:</w:t>
      </w:r>
      <w:r>
        <w:rPr>
          <w:rFonts w:ascii="Consolas" w:cs="Consolas" w:eastAsia="Consolas" w:hAnsi="Consolas"/>
          <w:sz w:val="20"/>
          <w:szCs w:val="20"/>
        </w:rPr>
        <w:br/>
        <w:t xml:space="preserve">   Sueldo                     = 440.87 × 7 = 3,086.09</w:t>
      </w:r>
      <w:r>
        <w:rPr>
          <w:rFonts w:ascii="Consolas" w:cs="Consolas" w:eastAsia="Consolas" w:hAnsi="Consolas"/>
          <w:sz w:val="20"/>
          <w:szCs w:val="20"/>
        </w:rPr>
        <w:br/>
        <w:t xml:space="preserve">   Excedente aguinaldo        = 0</w:t>
      </w:r>
      <w:r>
        <w:rPr>
          <w:rFonts w:ascii="Consolas" w:cs="Consolas" w:eastAsia="Consolas" w:hAnsi="Consolas"/>
          <w:sz w:val="20"/>
          <w:szCs w:val="20"/>
        </w:rPr>
        <w:br/>
        <w:t xml:space="preserve">   Excedente prima vacacional = 0</w:t>
      </w:r>
      <w:r>
        <w:rPr>
          <w:rFonts w:ascii="Consolas" w:cs="Consolas" w:eastAsia="Consolas" w:hAnsi="Consolas"/>
          <w:sz w:val="20"/>
          <w:szCs w:val="20"/>
        </w:rPr>
        <w:br/>
        <w:t xml:space="preserve">   Gratificación gravable     = 0</w:t>
      </w:r>
      <w:r>
        <w:rPr>
          <w:rFonts w:ascii="Consolas" w:cs="Consolas" w:eastAsia="Consolas" w:hAnsi="Consolas"/>
          <w:sz w:val="20"/>
          <w:szCs w:val="20"/>
        </w:rPr>
        <w:br/>
        <w:t xml:space="preserve">   Base Gravable Semanal      = 3,086.09</w:t>
      </w:r>
      <w:r>
        <w:rPr>
          <w:rFonts w:ascii="Consolas" w:cs="Consolas" w:eastAsia="Consolas" w:hAnsi="Consolas"/>
          <w:sz w:val="20"/>
          <w:szCs w:val="20"/>
        </w:rPr>
        <w:br/>
        <w:t xml:space="preserve"/>
      </w:r>
      <w:r>
        <w:rPr>
          <w:rFonts w:ascii="Consolas" w:cs="Consolas" w:eastAsia="Consolas" w:hAnsi="Consolas"/>
          <w:sz w:val="20"/>
          <w:szCs w:val="20"/>
        </w:rPr>
        <w:br/>
        <w:t xml:space="preserve">Paso 2 – Tabla ISR (tramo 2,900.88 – 3,372.11):</w:t>
      </w:r>
      <w:r>
        <w:rPr>
          <w:rFonts w:ascii="Consolas" w:cs="Consolas" w:eastAsia="Consolas" w:hAnsi="Consolas"/>
          <w:sz w:val="20"/>
          <w:szCs w:val="20"/>
        </w:rPr>
        <w:br/>
        <w:t xml:space="preserve">   Límite inferior   = 2,900.88</w:t>
      </w:r>
      <w:r>
        <w:rPr>
          <w:rFonts w:ascii="Consolas" w:cs="Consolas" w:eastAsia="Consolas" w:hAnsi="Consolas"/>
          <w:sz w:val="20"/>
          <w:szCs w:val="20"/>
        </w:rPr>
        <w:br/>
        <w:t xml:space="preserve">   Cuota fija        = 232.96</w:t>
      </w:r>
      <w:r>
        <w:rPr>
          <w:rFonts w:ascii="Consolas" w:cs="Consolas" w:eastAsia="Consolas" w:hAnsi="Consolas"/>
          <w:sz w:val="20"/>
          <w:szCs w:val="20"/>
        </w:rPr>
        <w:br/>
        <w:t xml:space="preserve">   % excedente       = 16.00%</w:t>
      </w:r>
      <w:r>
        <w:rPr>
          <w:rFonts w:ascii="Consolas" w:cs="Consolas" w:eastAsia="Consolas" w:hAnsi="Consolas"/>
          <w:sz w:val="20"/>
          <w:szCs w:val="20"/>
        </w:rPr>
        <w:br/>
        <w:t xml:space="preserve">   Excedente         = 3,086.09 − 2,900.88 = 185.21</w:t>
      </w:r>
      <w:r>
        <w:rPr>
          <w:rFonts w:ascii="Consolas" w:cs="Consolas" w:eastAsia="Consolas" w:hAnsi="Consolas"/>
          <w:sz w:val="20"/>
          <w:szCs w:val="20"/>
        </w:rPr>
        <w:br/>
        <w:t xml:space="preserve">   Impuesto marginal = 185.21 × 0.16 = 29.63</w:t>
      </w:r>
      <w:r>
        <w:rPr>
          <w:rFonts w:ascii="Consolas" w:cs="Consolas" w:eastAsia="Consolas" w:hAnsi="Consolas"/>
          <w:sz w:val="20"/>
          <w:szCs w:val="20"/>
        </w:rPr>
        <w:br/>
        <w:t xml:space="preserve">   Impuesto determinado = 232.96 + 29.63 = 262.59</w:t>
      </w:r>
      <w:r>
        <w:rPr>
          <w:rFonts w:ascii="Consolas" w:cs="Consolas" w:eastAsia="Consolas" w:hAnsi="Consolas"/>
          <w:sz w:val="20"/>
          <w:szCs w:val="20"/>
        </w:rPr>
        <w:br/>
        <w:t xml:space="preserve"/>
      </w:r>
      <w:r>
        <w:rPr>
          <w:rFonts w:ascii="Consolas" w:cs="Consolas" w:eastAsia="Consolas" w:hAnsi="Consolas"/>
          <w:sz w:val="20"/>
          <w:szCs w:val="20"/>
        </w:rPr>
        <w:br/>
        <w:t xml:space="preserve">Paso 3 – Subsidio al empleo:</w:t>
      </w:r>
      <w:r>
        <w:rPr>
          <w:rFonts w:ascii="Consolas" w:cs="Consolas" w:eastAsia="Consolas" w:hAnsi="Consolas"/>
          <w:sz w:val="20"/>
          <w:szCs w:val="20"/>
        </w:rPr>
        <w:br/>
        <w:t xml:space="preserve">   Base 3,086.09 &gt; $2,341.94  →  Subsidio = 0</w:t>
      </w:r>
      <w:r>
        <w:rPr>
          <w:rFonts w:ascii="Consolas" w:cs="Consolas" w:eastAsia="Consolas" w:hAnsi="Consolas"/>
          <w:sz w:val="20"/>
          <w:szCs w:val="20"/>
        </w:rPr>
        <w:br/>
        <w:t xml:space="preserve"/>
      </w:r>
      <w:r>
        <w:rPr>
          <w:rFonts w:ascii="Consolas" w:cs="Consolas" w:eastAsia="Consolas" w:hAnsi="Consolas"/>
          <w:sz w:val="20"/>
          <w:szCs w:val="20"/>
        </w:rPr>
        <w:br/>
        <w:t xml:space="preserve">Paso 4 – ISR retenido:</w:t>
      </w:r>
      <w:r>
        <w:rPr>
          <w:rFonts w:ascii="Consolas" w:cs="Consolas" w:eastAsia="Consolas" w:hAnsi="Consolas"/>
          <w:sz w:val="20"/>
          <w:szCs w:val="20"/>
        </w:rPr>
        <w:br/>
        <w:t xml:space="preserve">   ISR Retenido = 262.59 − 0 = $262.59</w:t>
      </w:r>
    </w:p>
    <w:p>
      <w:r>
        <w:br w:type="page"/>
      </w:r>
    </w:p>
    <w:p>
      <w:pPr>
        <w:pStyle w:val="Heading1"/>
      </w:pPr>
      <w:r>
        <w:t xml:space="preserve">6. Cuotas obrero-patronales del IMSS</w:t>
      </w:r>
    </w:p>
    <w:p>
      <w:pPr>
        <w:spacing w:after="100"/>
      </w:pPr>
      <w:r>
        <w:t xml:space="preserve">Las Cuotas Obrero-Patronales se calculan sobre el Salario Diario Integrado (SDI), no sobre el salario nominal. El SDI ya incorpora la parte proporcional del aguinaldo, prima vacacional y demás prestaciones.</w:t>
      </w:r>
    </w:p>
    <w:p>
      <w:pPr>
        <w:pStyle w:val="Heading2"/>
      </w:pPr>
      <w:r>
        <w:t xml:space="preserve">6.1 Insumos y bases de cálculo por ramo</w:t>
      </w:r>
    </w:p>
    <w:p>
      <w:pPr>
        <w:spacing w:after="100"/>
      </w:pPr>
      <w:r>
        <w:t xml:space="preserve">Variables del periodo (en días):</w:t>
      </w:r>
    </w:p>
    <w:p>
      <w:pPr>
        <w:pStyle w:val="ListParagraph"/>
        <w:numPr>
          <w:ilvl w:val="0"/>
          <w:numId w:val="3"/>
        </w:numPr>
        <w:spacing w:after="60"/>
      </w:pPr>
      <w:r>
        <w:t xml:space="preserve">D = Días del periodo (siete en nómina semanal).</w:t>
      </w:r>
    </w:p>
    <w:p>
      <w:pPr>
        <w:pStyle w:val="ListParagraph"/>
        <w:numPr>
          <w:ilvl w:val="0"/>
          <w:numId w:val="3"/>
        </w:numPr>
        <w:spacing w:after="60"/>
      </w:pPr>
      <w:r>
        <w:t xml:space="preserve">A = Días de ausentismo del periodo.</w:t>
      </w:r>
    </w:p>
    <w:p>
      <w:pPr>
        <w:pStyle w:val="ListParagraph"/>
        <w:numPr>
          <w:ilvl w:val="0"/>
          <w:numId w:val="3"/>
        </w:numPr>
        <w:spacing w:after="60"/>
      </w:pPr>
      <w:r>
        <w:t xml:space="preserve">I = Días de incapacidad del periodo.</w:t>
      </w:r>
    </w:p>
    <w:p>
      <w:pPr>
        <w:spacing w:after="100"/>
      </w:pPr>
      <w:r>
        <w:t xml:space="preserve">El modelo aplica cuatro bases distintas según el ramo: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Base Cuotas Generales (EM, Prest. Dinero, GMP)  =  D − I
        (los días de incapacidad no causan cuota; los ausentismos sí se incluyen)
Base Riesgo de Trabajo (RT)                     =  D − I − A
        (los días de incapacidad y los ausentismos quedan fuera)
Base Ramos sobre Días del Periodo               =  D
        (aplica a Invalidez y Vida, Guardería, Retiro, Cesantía y Vejez)
Base INFONAVIT Patronal                         =  D</w:t>
      </w:r>
    </w:p>
    <w:p>
      <w:pPr>
        <w:pBdr>
          <w:top w:val="single" w:color="BFBFBF" w:sz="4"/>
          <w:bottom w:val="single" w:color="BFBFBF" w:sz="4"/>
          <w:left w:val="single" w:color="BFBFBF" w:sz="4"/>
          <w:right w:val="single" w:color="BFBFBF" w:sz="4"/>
        </w:pBdr>
        <w:shd w:fill="DEEBF7" w:val="clear"/>
        <w:spacing w:after="140" w:before="60"/>
      </w:pPr>
      <w:r>
        <w:rPr>
          <w:b/>
          <w:bCs/>
          <w:sz w:val="20"/>
          <w:szCs w:val="20"/>
        </w:rPr>
        <w:t xml:space="preserve">Nota: </w:t>
      </w:r>
      <w:r>
        <w:rPr>
          <w:i/>
          <w:iCs/>
          <w:sz w:val="20"/>
          <w:szCs w:val="20"/>
        </w:rPr>
        <w:t xml:space="preserve">La distinción es relevante porque las incapacidades son cubiertas por el propio IMSS para los ramos de Enfermedad y Maternidad, mientras que los ausentismos sí generan cuota patronal en esos mismos ramos pero no en Riesgo de Trabajo.</w:t>
      </w:r>
    </w:p>
    <w:p>
      <w:pPr>
        <w:pStyle w:val="Heading2"/>
      </w:pPr>
      <w:r>
        <w:t xml:space="preserve">6.2 Cuota Patronal por ramo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Concepto</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Fórmula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Cuota Fija EM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UMA diaria × 20.40% × (D − I)</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Excedente EM Patronal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(SDI − 3·UMA) × 1.10% × (D − I)   [si SDI &gt; 3·UMA]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Prestaciones en Dinero Patronal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SDI × 0.70% × (D − I)</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GMP Pensionados Patronal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SDI × 1.05% × (D − 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Riesgo de Trabajo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SDI × PRT × (D − I − 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Invalidez y Vida Patronal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SDI × 1.75% × 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Guardería y P. Sociales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SDI × 1.00% × D</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Retiro Patronal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SDI × 2.00% × 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Cesantía y Vejez Patronal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SDI × %CVR × D   (% según tabla 2.7)</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INFONAVIT Patronal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SDI × 5.00% × D</w:t>
            </w:r>
          </w:p>
        </w:tc>
      </w:tr>
    </w:tbl>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Cuota Patronal IMSS Total  =  Suma de los conceptos anteriores (excepto INFONAVIT Patronal)</w:t>
      </w:r>
    </w:p>
    <w:p>
      <w:pPr>
        <w:pStyle w:val="Heading2"/>
      </w:pPr>
      <w:r>
        <w:t xml:space="preserve">6.3 Cuota Obrera por ramo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Concepto</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Fórmula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Excedente EM Obrera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(SDI − 3·UMA) × 0.40% × (D − I)   [si SDI &gt; 3·UMA]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Prestaciones en Dinero Obrera</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SDI × 0.25% × (D − 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GMP Pensionados Obrera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SDI × 0.375% × (D − I)</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Invalidez y Vida Obrera</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SDI × 0.625% × 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Cesantía y Vejez Obrera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SDI × 1.125% × D</w:t>
            </w:r>
          </w:p>
        </w:tc>
      </w:tr>
    </w:tbl>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Cuota Obrera Total  =  Excedente EM Obrera + Prest. Dinero Obrera + GMP Obrera + I/V Obrera + CyV Obrera</w:t>
      </w:r>
    </w:p>
    <w:p>
      <w:pPr>
        <w:pStyle w:val="Heading2"/>
      </w:pPr>
      <w:r>
        <w:t xml:space="preserve">6.4 Descuento IMSS aplicado al trabajador (método del modelo)</w:t>
      </w:r>
    </w:p>
    <w:p>
      <w:pPr>
        <w:spacing w:after="100"/>
      </w:pPr>
      <w:r>
        <w:t xml:space="preserve">El modelo no descuenta la Cuota Obrera Total como suma directa, sino que la convierte en un factor diario y la aplica sobre los días trabajados reconocidos para nómina. Esto asegura que el descuento al trabajador sea proporcional a los días efectivamente percibidos en el recibo.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Días Cotizables (F)              =  D − I − A
Días Trabajados Nómina (N)       =  MIN( Días trabajados en recibo ,  D )
Cuota Obrera Diaria              =  Cuota Obrera Total  /  F
Descuento IMSS al trabajador     =  Cuota Obrera Diaria  ×  N    (redondeado a 2 decimales)</w:t>
      </w:r>
    </w:p>
    <w:p>
      <w:pPr>
        <w:spacing w:after="100"/>
      </w:pPr>
      <w:r>
        <w:t xml:space="preserve">Excepción: cuando el Salario Diario nominal del trabajador (no el SDI) resulta menor o igual al Salario Mínimo de su zona, el Descuento IMSS al trabajador es cero.</w:t>
      </w:r>
    </w:p>
    <w:p>
      <w:pPr>
        <w:pStyle w:val="Heading2"/>
      </w:pPr>
      <w:r>
        <w:t xml:space="preserve">6.5 Ejemplo</w:t>
      </w:r>
    </w:p>
    <w:p>
      <w:pPr>
        <w:pBdr>
          <w:top w:val="single" w:color="BFBFBF" w:sz="4"/>
          <w:bottom w:val="single" w:color="BFBFBF" w:sz="4"/>
          <w:left w:val="single" w:color="BFBFBF" w:sz="4"/>
          <w:right w:val="single" w:color="BFBFBF" w:sz="4"/>
        </w:pBdr>
        <w:shd w:fill="E2EFDA" w:val="clear"/>
        <w:spacing w:after="140" w:before="80"/>
      </w:pPr>
      <w:r>
        <w:rPr>
          <w:b/>
          <w:bCs/>
          <w:sz w:val="20"/>
          <w:szCs w:val="20"/>
        </w:rPr>
        <w:t xml:space="preserve">SDI $465.03, semana completa sin incidencias (D=7, A=0, I=0):
</w:t>
      </w:r>
      <w:r>
        <w:rPr>
          <w:rFonts w:ascii="Consolas" w:cs="Consolas" w:eastAsia="Consolas" w:hAnsi="Consolas"/>
          <w:sz w:val="20"/>
          <w:szCs w:val="20"/>
        </w:rPr>
        <w:br/>
        <w:t xml:space="preserve">UMA diaria = 113.14   →   3·UMA = 339.42</w:t>
      </w:r>
      <w:r>
        <w:rPr>
          <w:rFonts w:ascii="Consolas" w:cs="Consolas" w:eastAsia="Consolas" w:hAnsi="Consolas"/>
          <w:sz w:val="20"/>
          <w:szCs w:val="20"/>
        </w:rPr>
        <w:br/>
        <w:t xml:space="preserve">Bases:  Cuotas generales = D − I = 7;  RT = D − I − A = 7;  Otros = D = 7</w:t>
      </w:r>
      <w:r>
        <w:rPr>
          <w:rFonts w:ascii="Consolas" w:cs="Consolas" w:eastAsia="Consolas" w:hAnsi="Consolas"/>
          <w:sz w:val="20"/>
          <w:szCs w:val="20"/>
        </w:rPr>
        <w:br/>
        <w:t xml:space="preserve"/>
      </w:r>
      <w:r>
        <w:rPr>
          <w:rFonts w:ascii="Consolas" w:cs="Consolas" w:eastAsia="Consolas" w:hAnsi="Consolas"/>
          <w:sz w:val="20"/>
          <w:szCs w:val="20"/>
        </w:rPr>
        <w:br/>
        <w:t xml:space="preserve">Cuota obrera por ramo:</w:t>
      </w:r>
      <w:r>
        <w:rPr>
          <w:rFonts w:ascii="Consolas" w:cs="Consolas" w:eastAsia="Consolas" w:hAnsi="Consolas"/>
          <w:sz w:val="20"/>
          <w:szCs w:val="20"/>
        </w:rPr>
        <w:br/>
        <w:t xml:space="preserve">   Excedente EM    = (465.03 − 339.42) × 0.40% × 7 =  3.52</w:t>
      </w:r>
      <w:r>
        <w:rPr>
          <w:rFonts w:ascii="Consolas" w:cs="Consolas" w:eastAsia="Consolas" w:hAnsi="Consolas"/>
          <w:sz w:val="20"/>
          <w:szCs w:val="20"/>
        </w:rPr>
        <w:br/>
        <w:t xml:space="preserve">   Prest. Dinero   = 465.03 × 0.25% × 7            =  8.14</w:t>
      </w:r>
      <w:r>
        <w:rPr>
          <w:rFonts w:ascii="Consolas" w:cs="Consolas" w:eastAsia="Consolas" w:hAnsi="Consolas"/>
          <w:sz w:val="20"/>
          <w:szCs w:val="20"/>
        </w:rPr>
        <w:br/>
        <w:t xml:space="preserve">   GMP             = 465.03 × 0.375% × 7           = 12.21</w:t>
      </w:r>
      <w:r>
        <w:rPr>
          <w:rFonts w:ascii="Consolas" w:cs="Consolas" w:eastAsia="Consolas" w:hAnsi="Consolas"/>
          <w:sz w:val="20"/>
          <w:szCs w:val="20"/>
        </w:rPr>
        <w:br/>
        <w:t xml:space="preserve">   I/V             = 465.03 × 0.625% × 7           = 20.35</w:t>
      </w:r>
      <w:r>
        <w:rPr>
          <w:rFonts w:ascii="Consolas" w:cs="Consolas" w:eastAsia="Consolas" w:hAnsi="Consolas"/>
          <w:sz w:val="20"/>
          <w:szCs w:val="20"/>
        </w:rPr>
        <w:br/>
        <w:t xml:space="preserve">   CyV             = 465.03 × 1.125% × 7           = 36.62</w:t>
      </w:r>
      <w:r>
        <w:rPr>
          <w:rFonts w:ascii="Consolas" w:cs="Consolas" w:eastAsia="Consolas" w:hAnsi="Consolas"/>
          <w:sz w:val="20"/>
          <w:szCs w:val="20"/>
        </w:rPr>
        <w:br/>
        <w:t xml:space="preserve">   Cuota Obrera Total                              = 80.84</w:t>
      </w:r>
      <w:r>
        <w:rPr>
          <w:rFonts w:ascii="Consolas" w:cs="Consolas" w:eastAsia="Consolas" w:hAnsi="Consolas"/>
          <w:sz w:val="20"/>
          <w:szCs w:val="20"/>
        </w:rPr>
        <w:br/>
        <w:t xml:space="preserve"/>
      </w:r>
      <w:r>
        <w:rPr>
          <w:rFonts w:ascii="Consolas" w:cs="Consolas" w:eastAsia="Consolas" w:hAnsi="Consolas"/>
          <w:sz w:val="20"/>
          <w:szCs w:val="20"/>
        </w:rPr>
        <w:br/>
        <w:t xml:space="preserve">Conversión a factor diario y aplicación:</w:t>
      </w:r>
      <w:r>
        <w:rPr>
          <w:rFonts w:ascii="Consolas" w:cs="Consolas" w:eastAsia="Consolas" w:hAnsi="Consolas"/>
          <w:sz w:val="20"/>
          <w:szCs w:val="20"/>
        </w:rPr>
        <w:br/>
        <w:t xml:space="preserve">   Cuota Obrera Diaria = 80.84 / 7 = 11.55</w:t>
      </w:r>
      <w:r>
        <w:rPr>
          <w:rFonts w:ascii="Consolas" w:cs="Consolas" w:eastAsia="Consolas" w:hAnsi="Consolas"/>
          <w:sz w:val="20"/>
          <w:szCs w:val="20"/>
        </w:rPr>
        <w:br/>
        <w:t xml:space="preserve">   Días Trabajados Nómina = 7</w:t>
      </w:r>
      <w:r>
        <w:rPr>
          <w:rFonts w:ascii="Consolas" w:cs="Consolas" w:eastAsia="Consolas" w:hAnsi="Consolas"/>
          <w:sz w:val="20"/>
          <w:szCs w:val="20"/>
        </w:rPr>
        <w:br/>
        <w:t xml:space="preserve">   Descuento IMSS = 11.55 × 7 = $80.84</w:t>
      </w:r>
    </w:p>
    <w:p>
      <w:r>
        <w:br w:type="page"/>
      </w:r>
    </w:p>
    <w:p>
      <w:pPr>
        <w:pStyle w:val="Heading1"/>
      </w:pPr>
      <w:r>
        <w:t xml:space="preserve">7. Descuento de crédito INFONAVIT</w:t>
      </w:r>
    </w:p>
    <w:p>
      <w:pPr>
        <w:spacing w:after="100"/>
      </w:pPr>
      <w:r>
        <w:t xml:space="preserve">Cuando el trabajador tiene crédito INFONAVIT vigente, el aviso de retención emitido por el Instituto define el descuento bajo una o varias modalidades. El modelo permite capturar hasta tres componentes simultáneos que se acumulan en el monto mensual base.</w:t>
      </w:r>
    </w:p>
    <w:p>
      <w:pPr>
        <w:pStyle w:val="Heading2"/>
      </w:pPr>
      <w:r>
        <w:t xml:space="preserve">7.1 Componentes del descuento mensual</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Monto por Cuota Fija    =  Importe fijo capturado del aviso
Monto por VSM/UMI       =  Factor en VSM capturado  ×  UMI diaria
Monto por Porcentaje    =  Salario Diario  ×  Porcentaje capturado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Monto Mensual Base  =  Monto Cuota Fija + Monto VSM/UMI + Monto Porcentaje</w:t>
      </w:r>
    </w:p>
    <w:p>
      <w:pPr>
        <w:pBdr>
          <w:top w:val="single" w:color="BFBFBF" w:sz="4"/>
          <w:bottom w:val="single" w:color="BFBFBF" w:sz="4"/>
          <w:left w:val="single" w:color="BFBFBF" w:sz="4"/>
          <w:right w:val="single" w:color="BFBFBF" w:sz="4"/>
        </w:pBdr>
        <w:shd w:fill="DEEBF7" w:val="clear"/>
        <w:spacing w:after="140" w:before="60"/>
      </w:pPr>
      <w:r>
        <w:rPr>
          <w:b/>
          <w:bCs/>
          <w:sz w:val="20"/>
          <w:szCs w:val="20"/>
        </w:rPr>
        <w:t xml:space="preserve">Nota: </w:t>
      </w:r>
      <w:r>
        <w:rPr>
          <w:i/>
          <w:iCs/>
          <w:sz w:val="20"/>
          <w:szCs w:val="20"/>
        </w:rPr>
        <w:t xml:space="preserve">En la práctica, el aviso ordinariamente define una sola modalidad por trabajador. Los componentes no aplicables quedan en cero.</w:t>
      </w:r>
    </w:p>
    <w:p>
      <w:pPr>
        <w:pStyle w:val="Heading2"/>
      </w:pPr>
      <w:r>
        <w:t xml:space="preserve">7.2 Bimestralización y descuento semanal</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Monto Bimestral    =  Monto Mensual Base  ×  2  +  Seguro de Vivienda (cuando aplique)
Descuento Semanal  =  Monto Bimestral  /  Número de Descuentos del Bimestre</w:t>
      </w:r>
    </w:p>
    <w:p>
      <w:pPr>
        <w:spacing w:after="100"/>
      </w:pPr>
      <w:r>
        <w:t xml:space="preserve">El número de descuentos del bimestre corresponde al calendario INFONAVIT (ordinariamente 9 semanas).</w:t>
      </w:r>
    </w:p>
    <w:p>
      <w:pPr>
        <w:pStyle w:val="Heading2"/>
      </w:pPr>
      <w:r>
        <w:t xml:space="preserve">7.3 Validación operativa por trabajador</w:t>
      </w:r>
    </w:p>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La hoja de cálculo de INFONAVIT presenta inconsistencias entre filas: algunos renglones aplican fórmulas distintas para el mismo concepto (por ejemplo, el importe por cuota fija puede tomarse como valor capturado o como cociente entre filas; el componente porcentual puede buscar el Salario Diario en columnas distintas en cada fila). Cuando existan créditos INFONAVIT vigentes, la fórmula aplicada en cada fila debe validarse trabajador por trabajador antes del cálculo del periodo, contrastándola contra el aviso emitido por el Instituto.</w:t>
      </w:r>
    </w:p>
    <w:p>
      <w:pPr>
        <w:pStyle w:val="Heading2"/>
      </w:pPr>
      <w:r>
        <w:t xml:space="preserve">7.4 Ejemplos</w:t>
      </w:r>
    </w:p>
    <w:p>
      <w:pPr>
        <w:pBdr>
          <w:top w:val="single" w:color="BFBFBF" w:sz="4"/>
          <w:bottom w:val="single" w:color="BFBFBF" w:sz="4"/>
          <w:left w:val="single" w:color="BFBFBF" w:sz="4"/>
          <w:right w:val="single" w:color="BFBFBF" w:sz="4"/>
        </w:pBdr>
        <w:shd w:fill="E2EFDA" w:val="clear"/>
        <w:spacing w:after="140" w:before="80"/>
      </w:pPr>
      <w:r>
        <w:rPr>
          <w:b/>
          <w:bCs/>
          <w:sz w:val="20"/>
          <w:szCs w:val="20"/>
        </w:rPr>
        <w:t xml:space="preserve">Modalidad cuota fija, $1,569.23 mensuales, seguro $15:
</w:t>
      </w:r>
      <w:r>
        <w:rPr>
          <w:rFonts w:ascii="Consolas" w:cs="Consolas" w:eastAsia="Consolas" w:hAnsi="Consolas"/>
          <w:sz w:val="20"/>
          <w:szCs w:val="20"/>
        </w:rPr>
        <w:br/>
        <w:t xml:space="preserve">Monto Bimestral   = 1,569.23 × 2 + 15 = 3,153.46</w:t>
      </w:r>
      <w:r>
        <w:rPr>
          <w:rFonts w:ascii="Consolas" w:cs="Consolas" w:eastAsia="Consolas" w:hAnsi="Consolas"/>
          <w:sz w:val="20"/>
          <w:szCs w:val="20"/>
        </w:rPr>
        <w:br/>
        <w:t xml:space="preserve">Descuento Semanal = 3,153.46 / 9      = $350.38</w:t>
      </w:r>
    </w:p>
    <w:p>
      <w:pPr>
        <w:pBdr>
          <w:top w:val="single" w:color="BFBFBF" w:sz="4"/>
          <w:bottom w:val="single" w:color="BFBFBF" w:sz="4"/>
          <w:left w:val="single" w:color="BFBFBF" w:sz="4"/>
          <w:right w:val="single" w:color="BFBFBF" w:sz="4"/>
        </w:pBdr>
        <w:shd w:fill="E2EFDA" w:val="clear"/>
        <w:spacing w:after="140" w:before="80"/>
      </w:pPr>
      <w:r>
        <w:rPr>
          <w:b/>
          <w:bCs/>
          <w:sz w:val="20"/>
          <w:szCs w:val="20"/>
        </w:rPr>
        <w:t xml:space="preserve">Modalidad porcentaje, SD $440.87 al 25%:
</w:t>
      </w:r>
      <w:r>
        <w:rPr>
          <w:rFonts w:ascii="Consolas" w:cs="Consolas" w:eastAsia="Consolas" w:hAnsi="Consolas"/>
          <w:sz w:val="20"/>
          <w:szCs w:val="20"/>
        </w:rPr>
        <w:br/>
        <w:t xml:space="preserve">Monto Mensual Base = 440.87 × 25%      = 110.22</w:t>
      </w:r>
      <w:r>
        <w:rPr>
          <w:rFonts w:ascii="Consolas" w:cs="Consolas" w:eastAsia="Consolas" w:hAnsi="Consolas"/>
          <w:sz w:val="20"/>
          <w:szCs w:val="20"/>
        </w:rPr>
        <w:br/>
        <w:t xml:space="preserve">Monto Bimestral    = 110.22 × 2 + 0    = 220.44</w:t>
      </w:r>
      <w:r>
        <w:rPr>
          <w:rFonts w:ascii="Consolas" w:cs="Consolas" w:eastAsia="Consolas" w:hAnsi="Consolas"/>
          <w:sz w:val="20"/>
          <w:szCs w:val="20"/>
        </w:rPr>
        <w:br/>
        <w:t xml:space="preserve">Descuento Semanal  = 220.44 / 9        = $24.49</w:t>
      </w:r>
    </w:p>
    <w:p>
      <w:pPr>
        <w:pStyle w:val="Heading1"/>
      </w:pPr>
      <w:r>
        <w:t xml:space="preserve">8. Descuento de crédito FONACOT</w:t>
      </w:r>
    </w:p>
    <w:p>
      <w:pPr>
        <w:spacing w:after="100"/>
      </w:pPr>
      <w:r>
        <w:t xml:space="preserve">El modelo cuenta con una hoja auxiliar para el cálculo del descuento FONACOT, con el siguiente mecanismo: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Descuento Semanal Auxiliar  =  Monto Mensual Autorizado  /  Número de Semanas del Mes
(divisor estándar = 4)</w:t>
      </w:r>
    </w:p>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El cálculo auxiliar de FONACOT NO se aplica automáticamente al neto en la hoja de nómina principal: la columna correspondiente permanece en cero. Cuando un trabajador tiene crédito FONACOT vigente, debe enlazarse o capturarse manualmente el descuento semanal en la columna de deducciones; en caso contrario, el descuento efectivo del periodo es cero aunque exista cálculo auxiliar.</w:t>
      </w:r>
    </w:p>
    <w:p>
      <w:r>
        <w:br w:type="page"/>
      </w:r>
    </w:p>
    <w:p>
      <w:pPr>
        <w:pStyle w:val="Heading1"/>
      </w:pPr>
      <w:r>
        <w:t xml:space="preserve">9. Determinación del neto pagado y complemento sindical</w:t>
      </w:r>
    </w:p>
    <w:p>
      <w:pPr>
        <w:spacing w:after="100"/>
      </w:pPr>
      <w:r>
        <w:t xml:space="preserve">El modelo distingue dos importes que conviene tratar por separado:</w:t>
      </w:r>
    </w:p>
    <w:p>
      <w:pPr>
        <w:pStyle w:val="ListParagraph"/>
        <w:numPr>
          <w:ilvl w:val="0"/>
          <w:numId w:val="3"/>
        </w:numPr>
        <w:spacing w:after="60"/>
      </w:pPr>
      <w:r>
        <w:t xml:space="preserve">El neto teórico, calculado a partir de las percepciones gravables del recibo.</w:t>
      </w:r>
    </w:p>
    <w:p>
      <w:pPr>
        <w:pStyle w:val="ListParagraph"/>
        <w:numPr>
          <w:ilvl w:val="0"/>
          <w:numId w:val="3"/>
        </w:numPr>
        <w:spacing w:after="60"/>
      </w:pPr>
      <w:r>
        <w:t xml:space="preserve">El complemento sindical, que se utiliza en el esquema de Maquila para igualar el bruto total al importe efectivamente entregado al trabajador.</w:t>
      </w:r>
    </w:p>
    <w:p>
      <w:pPr>
        <w:pStyle w:val="Heading2"/>
      </w:pPr>
      <w:r>
        <w:t xml:space="preserve">9.1 Total de deducciones</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Total Deducciones  =  Subsidio Reportado + ISR + Descuento IMSS Trabajador
                  +  FONACOT + INFONAVIT Trabajador + Otros Descuentos + Pensión Alimenticia</w:t>
      </w:r>
    </w:p>
    <w:p>
      <w:pPr>
        <w:pStyle w:val="Heading2"/>
      </w:pPr>
      <w:r>
        <w:t xml:space="preserve">9.2 Neto teórico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Percepciones Gravables del Recibo  =  Sueldo + Aguinaldo + Vacaciones + Prima Vacacional
                                   +  Gratificación + Teletrabajo
Neto Teórico  =  Percepciones Gravables del Recibo  −  Total Deducciones</w:t>
      </w:r>
    </w:p>
    <w:p>
      <w:pPr>
        <w:pBdr>
          <w:top w:val="single" w:color="BFBFBF" w:sz="4"/>
          <w:bottom w:val="single" w:color="BFBFBF" w:sz="4"/>
          <w:left w:val="single" w:color="BFBFBF" w:sz="4"/>
          <w:right w:val="single" w:color="BFBFBF" w:sz="4"/>
        </w:pBdr>
        <w:shd w:fill="DEEBF7" w:val="clear"/>
        <w:spacing w:after="140" w:before="60"/>
      </w:pPr>
      <w:r>
        <w:rPr>
          <w:b/>
          <w:bCs/>
          <w:sz w:val="20"/>
          <w:szCs w:val="20"/>
        </w:rPr>
        <w:t xml:space="preserve">Nota: </w:t>
      </w:r>
      <w:r>
        <w:rPr>
          <w:i/>
          <w:iCs/>
          <w:sz w:val="20"/>
          <w:szCs w:val="20"/>
        </w:rPr>
        <w:t xml:space="preserve">El neto teórico es el monto que se reporta como Neto Pagado en el recibo CFDI y corresponde a la dispersión fiscal.</w:t>
      </w:r>
    </w:p>
    <w:p>
      <w:pPr>
        <w:pStyle w:val="Heading2"/>
      </w:pPr>
      <w:r>
        <w:t xml:space="preserve">9.3 Complemento sindical</w:t>
      </w:r>
    </w:p>
    <w:p>
      <w:pPr>
        <w:spacing w:after="100"/>
      </w:pPr>
      <w:r>
        <w:t xml:space="preserve">Cuando el esquema de servicio es Maquila (sección 10), la diferencia entre el bruto total de incidencias y el neto teórico se entrega al trabajador a través del sindicato o cooperativa:</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Caso A – Subsidio NO absorbido por la empresa:
   Complemento Sindical  =  Total Percepciones de Incidencias  −  Neto Teórico
                        −  (FONACOT + INFONAVIT + Otros + Pensión Alimenticia)
                        −  Ajustes Manuales
Caso B – Subsidio absorbido por la empresa:
   Complemento Sindical  =  REDONDEAR( Total Percepciones de Incidencias  −  Neto Teórico  −  Total Deducciones , 0 )
                        ±  Ajustes Manuales</w:t>
      </w:r>
    </w:p>
    <w:p>
      <w:r>
        <w:br w:type="page"/>
      </w:r>
    </w:p>
    <w:p>
      <w:pPr>
        <w:pStyle w:val="Heading1"/>
      </w:pPr>
      <w:r>
        <w:t xml:space="preserve">10. Esquema Maquila / Sindicato</w:t>
      </w:r>
    </w:p>
    <w:p>
      <w:pPr>
        <w:spacing w:after="100"/>
      </w:pPr>
      <w:r>
        <w:t xml:space="preserve">El modelo opera con una bandera de Tipo de Servicio que determina la base facturable al cliente y el componente entregado vía dispersión sindical.</w:t>
      </w:r>
    </w:p>
    <w:p>
      <w:pPr>
        <w:pStyle w:val="Heading2"/>
      </w:pPr>
      <w:r>
        <w:t xml:space="preserve">10.1 Banderas de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Bandera</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Valores posibles</w:t>
            </w:r>
          </w:p>
        </w:tc>
        <w:tc>
          <w:tcPr>
            <w:tcW w:type="dxa" w:w="42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Efecto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Tipo de Servicio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Maquila / Nomina</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si la base facturable es el complemento sindical o el total bruto.</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Subsidio Absorbido</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Sí / No</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Define la fórmula de complemento sindical (sección 9.3).</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Aplica Faltas Proporcionales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OK / blanco</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Habilita el factor 7/6 para ausentismos (sección 4.2).</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Modalidad de Comisión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Sobre Costo / Sobre Brutos</w:t>
            </w:r>
          </w:p>
        </w:tc>
        <w:tc>
          <w:tcPr>
            <w:tcW w:type="dxa" w:w="4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Define la base de la comisión al cliente (sección 12).</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Zona ISN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ZONA / 4% / 4.25%</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Determina la tasa de ISN por trabajador o forzada.</w:t>
            </w:r>
          </w:p>
        </w:tc>
      </w:tr>
    </w:tbl>
    <w:p>
      <w:pPr>
        <w:pStyle w:val="Heading2"/>
      </w:pPr>
      <w:r>
        <w:t xml:space="preserve">10.2 Determinación del Total Nómina Facturable</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Si Tipo de Servicio = Maquila   →   Total Nómina Facturable = Complemento Sindical
Si Tipo de Servicio = Nomina    →   Total Nómina Facturable = Total Percepciones de Incidencias</w:t>
      </w:r>
    </w:p>
    <w:p>
      <w:pPr>
        <w:pStyle w:val="Heading2"/>
      </w:pPr>
      <w:r>
        <w:t xml:space="preserve">10.3 Dispersión bancaria</w:t>
      </w:r>
    </w:p>
    <w:p>
      <w:pPr>
        <w:pStyle w:val="ListParagraph"/>
        <w:numPr>
          <w:ilvl w:val="0"/>
          <w:numId w:val="3"/>
        </w:numPr>
        <w:spacing w:after="60"/>
      </w:pPr>
      <w:r>
        <w:t xml:space="preserve">Dispersión Fiscal: el Neto Teórico se transfiere al trabajador desde la cuenta de la razón social patronal.</w:t>
      </w:r>
    </w:p>
    <w:p>
      <w:pPr>
        <w:pStyle w:val="ListParagraph"/>
        <w:numPr>
          <w:ilvl w:val="0"/>
          <w:numId w:val="3"/>
        </w:numPr>
        <w:spacing w:after="60"/>
      </w:pPr>
      <w:r>
        <w:t xml:space="preserve">Dispersión Sindical: el Complemento Sindical se transfiere al trabajador desde la cuenta del sindicato o cooperativa.</w:t>
      </w:r>
    </w:p>
    <w:p>
      <w:pPr>
        <w:spacing w:after="100"/>
      </w:pPr>
      <w:r>
        <w:t xml:space="preserve">Ambas dispersiones se agregan al recibo total del trabajador y deben coincidir en suma con el bruto de incidencias del periodo.</w:t>
      </w:r>
    </w:p>
    <w:p>
      <w:pPr>
        <w:pStyle w:val="Heading1"/>
      </w:pPr>
      <w:r>
        <w:t xml:space="preserve">11. Impuesto Sobre Nóminas (ISN)</w:t>
      </w:r>
    </w:p>
    <w:p>
      <w:pPr>
        <w:spacing w:after="100"/>
      </w:pPr>
      <w:r>
        <w:t xml:space="preserve">El ISN es un impuesto estatal exclusivamente a cargo del empleador. Se calcula sobre la nómina pagada por entidad federativa.</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Base ISN  =  Total Percepciones del Recibo  −  Conceptos exentos por el estado
          (típicamente: Teletrabajo)
ISN (Zona A)  =  Base ISN  ×  4.00%
ISN (Zona B)  =  Base ISN  ×  4.25%</w:t>
      </w:r>
    </w:p>
    <w:p>
      <w:r>
        <w:br w:type="page"/>
      </w:r>
    </w:p>
    <w:p>
      <w:pPr>
        <w:pStyle w:val="Heading1"/>
      </w:pPr>
      <w:r>
        <w:t xml:space="preserve">12. Integración del costo al cliente y conciliación</w:t>
      </w:r>
    </w:p>
    <w:p>
      <w:pPr>
        <w:spacing w:after="100"/>
      </w:pPr>
      <w:r>
        <w:t xml:space="preserve">Cuando la nómina se factura a un tercero, el costo total comprende la base de nómina o complemento sindical (según tipo de servicio), las cargas patronales y la comisión pactada.</w:t>
      </w:r>
    </w:p>
    <w:p>
      <w:pPr>
        <w:pStyle w:val="Heading2"/>
      </w:pPr>
      <w:r>
        <w:t xml:space="preserve">12.1 Determinación de la factura</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Base Facturable      =  Total Nómina Facturable (sección 10.2)
Costo Social         =  ISR Retenido + Cuota Patronal IMSS + INFONAVIT Patronal
Subtotal Sin Com.    =  Base Facturable + ISN + Costo Social + Otros Conceptos
Comisión:
   Modalidad Sobre Costo:   Comisión = Subtotal Sin Com. × % comisión
   Modalidad Sobre Brutos:  Comisión = Base Facturable  × % comisión
Subtotal             =  Subtotal Sin Com. + Comisión
IVA                  =  Subtotal × Tasa de IVA configurada   (cuando proceda)
Total Facturado      =  Subtotal + IVA</w:t>
      </w:r>
    </w:p>
    <w:p>
      <w:pPr>
        <w:pStyle w:val="Heading2"/>
      </w:pPr>
      <w:r>
        <w:t xml:space="preserve">12.2 Separación entre nómina ordinaria y finiquitos</w:t>
      </w:r>
    </w:p>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La facturación separa la nómina ordinaria y los finiquitos mediante el campo de tipo de movimiento (u observación) capturado por trabajador. Cuando ese campo permanece en blanco o presenta una clasificación distinta a la esperada, el trabajador queda excluido del bloque correspondiente y, por tanto, fuera de la factura. La captura del tipo de movimiento debe validarse antes del cierre.</w:t>
      </w:r>
    </w:p>
    <w:p>
      <w:pPr>
        <w:pStyle w:val="Heading2"/>
      </w:pPr>
      <w:r>
        <w:t xml:space="preserve">12.3 Coherencia de banderas de ISN entre bloques</w:t>
      </w:r>
    </w:p>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El modelo aplica el ISN diferenciando por bloque de razón social. En el archivo de cálculo se detectaron referencias cruzadas de banderas de ISN entre bloques (un bloque puede consultar la bandera configurada en otro). Por ello, las banderas de ISN de todos los bloques deben coincidir o validarse antes de la facturación; de configurarse de manera disímil, podrían arrastrarse diferencias.</w:t>
      </w:r>
    </w:p>
    <w:p>
      <w:pPr>
        <w:pStyle w:val="Heading2"/>
      </w:pPr>
      <w:r>
        <w:t xml:space="preserve">12.4 Conciliación al cierre</w:t>
      </w:r>
    </w:p>
    <w:p>
      <w:pPr>
        <w:spacing w:after="100"/>
      </w:pPr>
      <w:r>
        <w:t xml:space="preserve">Al cierre del periodo debe verificarse que la suma de costos individuales por trabajador coincida con el total facturado:</w:t>
      </w:r>
    </w:p>
    <w:p>
      <w:pPr>
        <w:pBdr>
          <w:top w:val="single" w:color="BFBFBF" w:sz="4"/>
          <w:bottom w:val="single" w:color="BFBFBF" w:sz="4"/>
          <w:left w:val="single" w:color="BFBFBF" w:sz="4"/>
          <w:right w:val="single" w:color="BFBFBF" w:sz="4"/>
        </w:pBdr>
        <w:shd w:fill="FFF2CC" w:val="clear"/>
        <w:spacing w:after="120" w:before="80"/>
        <w:jc w:val="center"/>
      </w:pPr>
      <w:r>
        <w:rPr>
          <w:rFonts w:ascii="Cambria Math" w:cs="Cambria Math" w:eastAsia="Cambria Math" w:hAnsi="Cambria Math"/>
          <w:b/>
          <w:bCs/>
          <w:sz w:val="22"/>
          <w:szCs w:val="22"/>
        </w:rPr>
        <w:t xml:space="preserve">Diferencia de Conciliación  =  Σ (Total Costo por Trabajador)  −  Total Facturado</w:t>
      </w:r>
    </w:p>
    <w:p>
      <w:pPr>
        <w:spacing w:after="100"/>
      </w:pPr>
      <w:r>
        <w:t xml:space="preserve">El criterio del modelo es que la diferencia sea cero o cercana a cero por efecto del redondeo. El modelo no impone una tolerancia numérica explícita; la política operativa para aceptar diferencias menores corresponde definirla externamente.</w:t>
      </w:r>
    </w:p>
    <w:p>
      <w:pPr>
        <w:spacing w:after="100"/>
      </w:pPr>
      <w:r>
        <w:t xml:space="preserve">Cuando la diferencia exceda el redondeo natural, debe revisarse: (a) cifras de comisión por modalidad; (b) tratamiento de finiquitos; (c) tratamiento de trabajadores con subsidio absorbido; (d) coherencia entre Zona ISN y zona económica; (e) campo de tipo de movimiento por trabajador.</w:t>
      </w:r>
    </w:p>
    <w:p>
      <w:pPr>
        <w:pStyle w:val="Heading1"/>
      </w:pPr>
      <w:r>
        <w:t xml:space="preserve">13. Ajustes manuales, banderas y cierre del periodo</w:t>
      </w:r>
    </w:p>
    <w:p>
      <w:pPr>
        <w:spacing w:after="100"/>
      </w:pPr>
      <w:r>
        <w:t xml:space="preserve">El modelo permite incorporar ajustes manuales a casos particulares. Estos ajustes deben revisarse en cada periodo para evitar su arrastre indebido a semanas posteriores.</w:t>
      </w:r>
    </w:p>
    <w:p>
      <w:pPr>
        <w:pStyle w:val="Heading2"/>
      </w:pPr>
      <w:r>
        <w:t xml:space="preserve">13.1 Ajustes individuales típicos</w:t>
      </w:r>
    </w:p>
    <w:p>
      <w:pPr>
        <w:pStyle w:val="ListParagraph"/>
        <w:numPr>
          <w:ilvl w:val="0"/>
          <w:numId w:val="3"/>
        </w:numPr>
        <w:spacing w:after="60"/>
      </w:pPr>
      <w:r>
        <w:t xml:space="preserve">Préstamo personal fijo: importe semanal capturado en la columna de descuentos.</w:t>
      </w:r>
    </w:p>
    <w:p>
      <w:pPr>
        <w:pStyle w:val="ListParagraph"/>
        <w:numPr>
          <w:ilvl w:val="0"/>
          <w:numId w:val="3"/>
        </w:numPr>
        <w:spacing w:after="60"/>
      </w:pPr>
      <w:r>
        <w:t xml:space="preserve">Descuento adicional dentro del cálculo del complemento sindical.</w:t>
      </w:r>
    </w:p>
    <w:p>
      <w:pPr>
        <w:pStyle w:val="ListParagraph"/>
        <w:numPr>
          <w:ilvl w:val="0"/>
          <w:numId w:val="3"/>
        </w:numPr>
        <w:spacing w:after="60"/>
      </w:pPr>
      <w:r>
        <w:t xml:space="preserve">Ajuste manual al complemento sindical.</w:t>
      </w:r>
    </w:p>
    <w:p>
      <w:pPr>
        <w:pStyle w:val="ListParagraph"/>
        <w:numPr>
          <w:ilvl w:val="0"/>
          <w:numId w:val="3"/>
        </w:numPr>
        <w:spacing w:after="60"/>
      </w:pPr>
      <w:r>
        <w:t xml:space="preserve">Bono fijo semanal: importe fijo capturado en la columna de gratificación.</w:t>
      </w:r>
    </w:p>
    <w:p>
      <w:pPr>
        <w:pStyle w:val="ListParagraph"/>
        <w:numPr>
          <w:ilvl w:val="0"/>
          <w:numId w:val="3"/>
        </w:numPr>
        <w:spacing w:after="60"/>
      </w:pPr>
      <w:r>
        <w:t xml:space="preserve">Retención manual de ISR o fijación a cero.</w:t>
      </w:r>
    </w:p>
    <w:p>
      <w:pPr>
        <w:pStyle w:val="Heading2"/>
      </w:pPr>
      <w:r>
        <w:t xml:space="preserve">13.2 Control de ajustes</w:t>
      </w:r>
    </w:p>
    <w:p>
      <w:pPr>
        <w:pBdr>
          <w:top w:val="single" w:color="BFBFBF" w:sz="4"/>
          <w:bottom w:val="single" w:color="BFBFBF" w:sz="4"/>
          <w:left w:val="single" w:color="BFBFBF" w:sz="4"/>
          <w:right w:val="single" w:color="BFBFBF" w:sz="4"/>
        </w:pBdr>
        <w:shd w:fill="F8CBAD" w:val="clear"/>
        <w:spacing w:after="140" w:before="60"/>
      </w:pPr>
      <w:r>
        <w:rPr>
          <w:b/>
          <w:bCs/>
          <w:sz w:val="20"/>
          <w:szCs w:val="20"/>
        </w:rPr>
        <w:t xml:space="preserve">Advertencia: </w:t>
      </w:r>
      <w:r>
        <w:rPr>
          <w:sz w:val="20"/>
          <w:szCs w:val="20"/>
        </w:rPr>
        <w:t xml:space="preserve">Todo ajuste manual debe documentarse en la columna de Observaciones del trabajador con el plazo de aplicación. Al inicio de cada periodo deben revisarse todas las celdas con valor capturado directo (no fórmula), confirmando si procede mantener, ajustar o eliminar el valor.</w:t>
      </w:r>
    </w:p>
    <w:p>
      <w:pPr>
        <w:pStyle w:val="Heading2"/>
      </w:pPr>
      <w:r>
        <w:t xml:space="preserve">13.3 Banderas globales de operación</w:t>
      </w:r>
    </w:p>
    <w:p>
      <w:pPr>
        <w:spacing w:after="100"/>
      </w:pPr>
      <w:r>
        <w:t xml:space="preserve">Las banderas listadas en la sección 10.1 deben confirmarse al inicio de cada periodo, ya que su modificación cambia los resultados de toda la nómina.</w:t>
      </w:r>
    </w:p>
    <w:p>
      <w:pPr>
        <w:pStyle w:val="Heading2"/>
      </w:pPr>
      <w:r>
        <w:t xml:space="preserve">13.4 Lista de verificación al cierre del periodo</w:t>
      </w:r>
    </w:p>
    <w:p>
      <w:pPr>
        <w:spacing w:after="100"/>
      </w:pPr>
      <w:r>
        <w:t xml:space="preserve">Antes de dar por cerrado el periodo y generar las dispersiones, debe confirmarse cada uno de los siguientes puntos:</w:t>
      </w:r>
    </w:p>
    <w:p>
      <w:pPr>
        <w:pStyle w:val="ListParagraph"/>
        <w:numPr>
          <w:ilvl w:val="0"/>
          <w:numId w:val="2"/>
        </w:numPr>
        <w:spacing w:after="60"/>
      </w:pPr>
      <w:r>
        <w:t xml:space="preserve">Confirmar las banderas globales: Tipo de Servicio, Subsidio Absorbido, Aplica Faltas Proporcionales, Modalidad de Comisión y Zona ISN.</w:t>
      </w:r>
    </w:p>
    <w:p>
      <w:pPr>
        <w:pStyle w:val="ListParagraph"/>
        <w:numPr>
          <w:ilvl w:val="0"/>
          <w:numId w:val="2"/>
        </w:numPr>
        <w:spacing w:after="60"/>
      </w:pPr>
      <w:r>
        <w:t xml:space="preserve">Validar que las banderas de ISN de todos los bloques de razón social coincidan o estén verificadas.</w:t>
      </w:r>
    </w:p>
    <w:p>
      <w:pPr>
        <w:pStyle w:val="ListParagraph"/>
        <w:numPr>
          <w:ilvl w:val="0"/>
          <w:numId w:val="2"/>
        </w:numPr>
        <w:spacing w:after="60"/>
      </w:pPr>
      <w:r>
        <w:t xml:space="preserve">Verificar que el campo de tipo de movimiento (nómina ordinaria / finiquito) esté capturado en todos los trabajadores.</w:t>
      </w:r>
    </w:p>
    <w:p>
      <w:pPr>
        <w:pStyle w:val="ListParagraph"/>
        <w:numPr>
          <w:ilvl w:val="0"/>
          <w:numId w:val="2"/>
        </w:numPr>
        <w:spacing w:after="60"/>
      </w:pPr>
      <w:r>
        <w:t xml:space="preserve">Validar que cada crédito INFONAVIT tenga una sola modalidad activa y que el descuento semanal coincida con el aviso del Instituto.</w:t>
      </w:r>
    </w:p>
    <w:p>
      <w:pPr>
        <w:pStyle w:val="ListParagraph"/>
        <w:numPr>
          <w:ilvl w:val="0"/>
          <w:numId w:val="2"/>
        </w:numPr>
        <w:spacing w:after="60"/>
      </w:pPr>
      <w:r>
        <w:t xml:space="preserve">Confirmar que los créditos FONACOT vigentes estén capturados o enlazados en la columna de deducciones de la nómina (no sólo en la hoja auxiliar).</w:t>
      </w:r>
    </w:p>
    <w:p>
      <w:pPr>
        <w:pStyle w:val="ListParagraph"/>
        <w:numPr>
          <w:ilvl w:val="0"/>
          <w:numId w:val="2"/>
        </w:numPr>
        <w:spacing w:after="60"/>
      </w:pPr>
      <w:r>
        <w:t xml:space="preserve">Revisar las celdas con valor capturado directo (préstamos, ajustes manuales, bonos fijos) y confirmar su vigencia para el periodo.</w:t>
      </w:r>
    </w:p>
    <w:p>
      <w:pPr>
        <w:pStyle w:val="ListParagraph"/>
        <w:numPr>
          <w:ilvl w:val="0"/>
          <w:numId w:val="2"/>
        </w:numPr>
        <w:spacing w:after="60"/>
      </w:pPr>
      <w:r>
        <w:t xml:space="preserve">Para nóminas con aguinaldo superior a 30·UMA diaria, verificar el cálculo del excedente gravable conforme a la fórmula normativa (sección 5.1.1).</w:t>
      </w:r>
    </w:p>
    <w:p>
      <w:pPr>
        <w:pStyle w:val="ListParagraph"/>
        <w:numPr>
          <w:ilvl w:val="0"/>
          <w:numId w:val="2"/>
        </w:numPr>
        <w:spacing w:after="60"/>
      </w:pPr>
      <w:r>
        <w:t xml:space="preserve">Ejecutar la conciliación: la diferencia entre la suma de costos por trabajador y el total facturado debe ser cero o cercana a cero por redondeo.</w:t>
      </w:r>
    </w:p>
    <w:p>
      <w:pPr>
        <w:pStyle w:val="ListParagraph"/>
        <w:numPr>
          <w:ilvl w:val="0"/>
          <w:numId w:val="2"/>
        </w:numPr>
        <w:spacing w:after="60"/>
      </w:pPr>
      <w:r>
        <w:t xml:space="preserve">Confirmar que la suma de la dispersión fiscal y la dispersión sindical coincida con el bruto de incidencias del periodo.</w:t>
      </w:r>
    </w:p>
    <w:p>
      <w:r>
        <w:br w:type="page"/>
      </w:r>
    </w:p>
    <w:p>
      <w:pPr>
        <w:pStyle w:val="Heading1"/>
      </w:pPr>
      <w:r>
        <w:t xml:space="preserve">14. Formulario de referencia rápida</w:t>
      </w:r>
    </w:p>
    <w:p>
      <w:pPr>
        <w:pStyle w:val="Heading2"/>
      </w:pPr>
      <w:r>
        <w:t xml:space="preserve">14.1 Percepciones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Salario Diario:  </w:t>
      </w:r>
      <w:r>
        <w:rPr>
          <w:rFonts w:ascii="Consolas" w:cs="Consolas" w:eastAsia="Consolas" w:hAnsi="Consolas"/>
          <w:sz w:val="20"/>
          <w:szCs w:val="20"/>
        </w:rPr>
        <w:t xml:space="preserve">Sueldo Semanal / 7</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Días Trabajados (normal):  </w:t>
      </w:r>
      <w:r>
        <w:rPr>
          <w:rFonts w:ascii="Consolas" w:cs="Consolas" w:eastAsia="Consolas" w:hAnsi="Consolas"/>
          <w:sz w:val="20"/>
          <w:szCs w:val="20"/>
        </w:rPr>
        <w:t xml:space="preserve">Días Periodo − Ausencias − Vacaciones − Incapacidades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Días Trabajados (proporcional):  </w:t>
      </w:r>
      <w:r>
        <w:rPr>
          <w:rFonts w:ascii="Consolas" w:cs="Consolas" w:eastAsia="Consolas" w:hAnsi="Consolas"/>
          <w:sz w:val="20"/>
          <w:szCs w:val="20"/>
        </w:rPr>
        <w:t xml:space="preserve">Días Periodo − (Ausencias × 7/6) − Vacaciones − Incapacidades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Sueldo:  </w:t>
      </w:r>
      <w:r>
        <w:rPr>
          <w:rFonts w:ascii="Consolas" w:cs="Consolas" w:eastAsia="Consolas" w:hAnsi="Consolas"/>
          <w:sz w:val="20"/>
          <w:szCs w:val="20"/>
        </w:rPr>
        <w:t xml:space="preserve">Salario Diario × Días Trabajados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Vacaciones:  </w:t>
      </w:r>
      <w:r>
        <w:rPr>
          <w:rFonts w:ascii="Consolas" w:cs="Consolas" w:eastAsia="Consolas" w:hAnsi="Consolas"/>
          <w:sz w:val="20"/>
          <w:szCs w:val="20"/>
        </w:rPr>
        <w:t xml:space="preserve">Días Vacaciones × Salario Diario</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Prima Vacacional:  </w:t>
      </w:r>
      <w:r>
        <w:rPr>
          <w:rFonts w:ascii="Consolas" w:cs="Consolas" w:eastAsia="Consolas" w:hAnsi="Consolas"/>
          <w:sz w:val="20"/>
          <w:szCs w:val="20"/>
        </w:rPr>
        <w:t xml:space="preserve">Vacaciones × 25%</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Festivo:  </w:t>
      </w:r>
      <w:r>
        <w:rPr>
          <w:rFonts w:ascii="Consolas" w:cs="Consolas" w:eastAsia="Consolas" w:hAnsi="Consolas"/>
          <w:sz w:val="20"/>
          <w:szCs w:val="20"/>
        </w:rPr>
        <w:t xml:space="preserve">Días Festivos × Salario Diario × 2</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Hora Doble:  </w:t>
      </w:r>
      <w:r>
        <w:rPr>
          <w:rFonts w:ascii="Consolas" w:cs="Consolas" w:eastAsia="Consolas" w:hAnsi="Consolas"/>
          <w:sz w:val="20"/>
          <w:szCs w:val="20"/>
        </w:rPr>
        <w:t xml:space="preserve">(Salario Diario / 8) × 2 × Cantidad Horas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Hora Triple:  </w:t>
      </w:r>
      <w:r>
        <w:rPr>
          <w:rFonts w:ascii="Consolas" w:cs="Consolas" w:eastAsia="Consolas" w:hAnsi="Consolas"/>
          <w:sz w:val="20"/>
          <w:szCs w:val="20"/>
        </w:rPr>
        <w:t xml:space="preserve">(Salario Diario / 8) × 3 × Cantidad Horas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Prima Dominical:  </w:t>
      </w:r>
      <w:r>
        <w:rPr>
          <w:rFonts w:ascii="Consolas" w:cs="Consolas" w:eastAsia="Consolas" w:hAnsi="Consolas"/>
          <w:sz w:val="20"/>
          <w:szCs w:val="20"/>
        </w:rPr>
        <w:t xml:space="preserve">Salario Diario × 25% × Domingos Trabajados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Horas Descontadas:  </w:t>
      </w:r>
      <w:r>
        <w:rPr>
          <w:rFonts w:ascii="Consolas" w:cs="Consolas" w:eastAsia="Consolas" w:hAnsi="Consolas"/>
          <w:sz w:val="20"/>
          <w:szCs w:val="20"/>
        </w:rPr>
        <w:t xml:space="preserve">(Salario Diario / 8) × Cantidad Horas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Total Bruto:  </w:t>
      </w:r>
      <w:r>
        <w:rPr>
          <w:rFonts w:ascii="Consolas" w:cs="Consolas" w:eastAsia="Consolas" w:hAnsi="Consolas"/>
          <w:sz w:val="20"/>
          <w:szCs w:val="20"/>
        </w:rPr>
        <w:t xml:space="preserve">Σ Percepciones − Σ Descuentos Personales</w:t>
      </w:r>
    </w:p>
    <w:p>
      <w:pPr>
        <w:pStyle w:val="Heading2"/>
      </w:pPr>
      <w:r>
        <w:t xml:space="preserve">14.2 ISR semanal (aplicación directa)</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Base Gravable Semanal:  </w:t>
      </w:r>
      <w:r>
        <w:rPr>
          <w:rFonts w:ascii="Consolas" w:cs="Consolas" w:eastAsia="Consolas" w:hAnsi="Consolas"/>
          <w:sz w:val="20"/>
          <w:szCs w:val="20"/>
        </w:rPr>
        <w:t xml:space="preserve">Sueldo + Vacaciones + Excedente Aguinaldo + Excedente Prima Vac. + Gratificación</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Excedente Aguinaldo (normativo):  </w:t>
      </w:r>
      <w:r>
        <w:rPr>
          <w:rFonts w:ascii="Consolas" w:cs="Consolas" w:eastAsia="Consolas" w:hAnsi="Consolas"/>
          <w:sz w:val="20"/>
          <w:szCs w:val="20"/>
        </w:rPr>
        <w:t xml:space="preserve">MAX( Aguinaldo − (30 × UMA diaria) , 0 )</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Excedente Aguinaldo (modelo actual):  </w:t>
      </w:r>
      <w:r>
        <w:rPr>
          <w:rFonts w:ascii="Consolas" w:cs="Consolas" w:eastAsia="Consolas" w:hAnsi="Consolas"/>
          <w:sz w:val="20"/>
          <w:szCs w:val="20"/>
        </w:rPr>
        <w:t xml:space="preserve">(30 × UMA diaria) − Aguinaldo si Aguinaldo &gt; tope  [erróneo: corregir]</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Excedente Prima Vac.:  </w:t>
      </w:r>
      <w:r>
        <w:rPr>
          <w:rFonts w:ascii="Consolas" w:cs="Consolas" w:eastAsia="Consolas" w:hAnsi="Consolas"/>
          <w:sz w:val="20"/>
          <w:szCs w:val="20"/>
        </w:rPr>
        <w:t xml:space="preserve">MAX( Prima Vacacional − (15 × UMA diaria) , 0 )</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Impuesto Marginal:  </w:t>
      </w:r>
      <w:r>
        <w:rPr>
          <w:rFonts w:ascii="Consolas" w:cs="Consolas" w:eastAsia="Consolas" w:hAnsi="Consolas"/>
          <w:sz w:val="20"/>
          <w:szCs w:val="20"/>
        </w:rPr>
        <w:t xml:space="preserve">(Base Gravable − Límite Inferior) × % excedente</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Impuesto Determinado:  </w:t>
      </w:r>
      <w:r>
        <w:rPr>
          <w:rFonts w:ascii="Consolas" w:cs="Consolas" w:eastAsia="Consolas" w:hAnsi="Consolas"/>
          <w:sz w:val="20"/>
          <w:szCs w:val="20"/>
        </w:rPr>
        <w:t xml:space="preserve">Cuota Fija + Impuesto Marginal</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Subsidio Semanal:  </w:t>
      </w:r>
      <w:r>
        <w:rPr>
          <w:rFonts w:ascii="Consolas" w:cs="Consolas" w:eastAsia="Consolas" w:hAnsi="Consolas"/>
          <w:sz w:val="20"/>
          <w:szCs w:val="20"/>
        </w:rPr>
        <w:t xml:space="preserve">$109.29 si Base ≤ $2,341.94; cero en otro caso</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ISR Retenido:  </w:t>
      </w:r>
      <w:r>
        <w:rPr>
          <w:rFonts w:ascii="Consolas" w:cs="Consolas" w:eastAsia="Consolas" w:hAnsi="Consolas"/>
          <w:sz w:val="20"/>
          <w:szCs w:val="20"/>
        </w:rPr>
        <w:t xml:space="preserve">MAX( Impuesto Determinado − Subsidio Semanal , 0 )</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Excepción:  </w:t>
      </w:r>
      <w:r>
        <w:rPr>
          <w:rFonts w:ascii="Consolas" w:cs="Consolas" w:eastAsia="Consolas" w:hAnsi="Consolas"/>
          <w:sz w:val="20"/>
          <w:szCs w:val="20"/>
        </w:rPr>
        <w:t xml:space="preserve">Si Salario Diario ≤ Salario Mínimo Zona → ISR = 0</w:t>
      </w:r>
    </w:p>
    <w:p>
      <w:pPr>
        <w:pStyle w:val="Heading2"/>
      </w:pPr>
      <w:r>
        <w:t xml:space="preserve">14.3 IMSS – Cuota Obrera (a descontar al trabajador)</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Excedente EM Obrera:  </w:t>
      </w:r>
      <w:r>
        <w:rPr>
          <w:rFonts w:ascii="Consolas" w:cs="Consolas" w:eastAsia="Consolas" w:hAnsi="Consolas"/>
          <w:sz w:val="20"/>
          <w:szCs w:val="20"/>
        </w:rPr>
        <w:t xml:space="preserve">(SDI − 3·UMA) × 0.40% × (D − I)   [si SDI &gt; 3·UMA]</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Prest. Dinero Obrera:  </w:t>
      </w:r>
      <w:r>
        <w:rPr>
          <w:rFonts w:ascii="Consolas" w:cs="Consolas" w:eastAsia="Consolas" w:hAnsi="Consolas"/>
          <w:sz w:val="20"/>
          <w:szCs w:val="20"/>
        </w:rPr>
        <w:t xml:space="preserve">SDI × 0.25% × (D − I)</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GMP Obrera:  </w:t>
      </w:r>
      <w:r>
        <w:rPr>
          <w:rFonts w:ascii="Consolas" w:cs="Consolas" w:eastAsia="Consolas" w:hAnsi="Consolas"/>
          <w:sz w:val="20"/>
          <w:szCs w:val="20"/>
        </w:rPr>
        <w:t xml:space="preserve">SDI × 0.375% × (D − I)</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Invalidez y Vida Obrera:  </w:t>
      </w:r>
      <w:r>
        <w:rPr>
          <w:rFonts w:ascii="Consolas" w:cs="Consolas" w:eastAsia="Consolas" w:hAnsi="Consolas"/>
          <w:sz w:val="20"/>
          <w:szCs w:val="20"/>
        </w:rPr>
        <w:t xml:space="preserve">SDI × 0.625% × D</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Cesantía y Vejez Obrera:  </w:t>
      </w:r>
      <w:r>
        <w:rPr>
          <w:rFonts w:ascii="Consolas" w:cs="Consolas" w:eastAsia="Consolas" w:hAnsi="Consolas"/>
          <w:sz w:val="20"/>
          <w:szCs w:val="20"/>
        </w:rPr>
        <w:t xml:space="preserve">SDI × 1.125% × D</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Cuota Obrera Total:  </w:t>
      </w:r>
      <w:r>
        <w:rPr>
          <w:rFonts w:ascii="Consolas" w:cs="Consolas" w:eastAsia="Consolas" w:hAnsi="Consolas"/>
          <w:sz w:val="20"/>
          <w:szCs w:val="20"/>
        </w:rPr>
        <w:t xml:space="preserve">Σ de los anteriores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Días Cotizables (F):  </w:t>
      </w:r>
      <w:r>
        <w:rPr>
          <w:rFonts w:ascii="Consolas" w:cs="Consolas" w:eastAsia="Consolas" w:hAnsi="Consolas"/>
          <w:sz w:val="20"/>
          <w:szCs w:val="20"/>
        </w:rPr>
        <w:t xml:space="preserve">D − I − A</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Cuota Obrera Diaria:  </w:t>
      </w:r>
      <w:r>
        <w:rPr>
          <w:rFonts w:ascii="Consolas" w:cs="Consolas" w:eastAsia="Consolas" w:hAnsi="Consolas"/>
          <w:sz w:val="20"/>
          <w:szCs w:val="20"/>
        </w:rPr>
        <w:t xml:space="preserve">Cuota Obrera Total / F</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Descuento IMSS Trabajador:  </w:t>
      </w:r>
      <w:r>
        <w:rPr>
          <w:rFonts w:ascii="Consolas" w:cs="Consolas" w:eastAsia="Consolas" w:hAnsi="Consolas"/>
          <w:sz w:val="20"/>
          <w:szCs w:val="20"/>
        </w:rPr>
        <w:t xml:space="preserve">Cuota Obrera Diaria × Días Trabajados Nómina</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Excepción:  </w:t>
      </w:r>
      <w:r>
        <w:rPr>
          <w:rFonts w:ascii="Consolas" w:cs="Consolas" w:eastAsia="Consolas" w:hAnsi="Consolas"/>
          <w:sz w:val="20"/>
          <w:szCs w:val="20"/>
        </w:rPr>
        <w:t xml:space="preserve">Si Salario Diario ≤ Salario Mínimo Zona → Descuento = 0</w:t>
      </w:r>
    </w:p>
    <w:p>
      <w:pPr>
        <w:pStyle w:val="Heading2"/>
      </w:pPr>
      <w:r>
        <w:t xml:space="preserve">14.4 IMSS – Cuota Patronal</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Cuota Fija EM:  </w:t>
      </w:r>
      <w:r>
        <w:rPr>
          <w:rFonts w:ascii="Consolas" w:cs="Consolas" w:eastAsia="Consolas" w:hAnsi="Consolas"/>
          <w:sz w:val="20"/>
          <w:szCs w:val="20"/>
        </w:rPr>
        <w:t xml:space="preserve">UMA diaria × 20.40% × (D − I)</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Excedente EM Patronal:  </w:t>
      </w:r>
      <w:r>
        <w:rPr>
          <w:rFonts w:ascii="Consolas" w:cs="Consolas" w:eastAsia="Consolas" w:hAnsi="Consolas"/>
          <w:sz w:val="20"/>
          <w:szCs w:val="20"/>
        </w:rPr>
        <w:t xml:space="preserve">(SDI − 3·UMA) × 1.10% × (D − I)</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Prest. Dinero Patronal:  </w:t>
      </w:r>
      <w:r>
        <w:rPr>
          <w:rFonts w:ascii="Consolas" w:cs="Consolas" w:eastAsia="Consolas" w:hAnsi="Consolas"/>
          <w:sz w:val="20"/>
          <w:szCs w:val="20"/>
        </w:rPr>
        <w:t xml:space="preserve">SDI × 0.70% × (D − I)</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GMP Patronal:  </w:t>
      </w:r>
      <w:r>
        <w:rPr>
          <w:rFonts w:ascii="Consolas" w:cs="Consolas" w:eastAsia="Consolas" w:hAnsi="Consolas"/>
          <w:sz w:val="20"/>
          <w:szCs w:val="20"/>
        </w:rPr>
        <w:t xml:space="preserve">SDI × 1.05% × (D − I)</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Riesgo de Trabajo:  </w:t>
      </w:r>
      <w:r>
        <w:rPr>
          <w:rFonts w:ascii="Consolas" w:cs="Consolas" w:eastAsia="Consolas" w:hAnsi="Consolas"/>
          <w:sz w:val="20"/>
          <w:szCs w:val="20"/>
        </w:rPr>
        <w:t xml:space="preserve">SDI × PRT × (D − I − A)   (PRT modelo = 2.5984%)</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Invalidez y Vida Patronal:  </w:t>
      </w:r>
      <w:r>
        <w:rPr>
          <w:rFonts w:ascii="Consolas" w:cs="Consolas" w:eastAsia="Consolas" w:hAnsi="Consolas"/>
          <w:sz w:val="20"/>
          <w:szCs w:val="20"/>
        </w:rPr>
        <w:t xml:space="preserve">SDI × 1.75% × D</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Guardería y P. Sociales:  </w:t>
      </w:r>
      <w:r>
        <w:rPr>
          <w:rFonts w:ascii="Consolas" w:cs="Consolas" w:eastAsia="Consolas" w:hAnsi="Consolas"/>
          <w:sz w:val="20"/>
          <w:szCs w:val="20"/>
        </w:rPr>
        <w:t xml:space="preserve">SDI × 1.00% × D</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Retiro:  </w:t>
      </w:r>
      <w:r>
        <w:rPr>
          <w:rFonts w:ascii="Consolas" w:cs="Consolas" w:eastAsia="Consolas" w:hAnsi="Consolas"/>
          <w:sz w:val="20"/>
          <w:szCs w:val="20"/>
        </w:rPr>
        <w:t xml:space="preserve">SDI × 2.00% × D</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Cesantía y Vejez Patronal:  </w:t>
      </w:r>
      <w:r>
        <w:rPr>
          <w:rFonts w:ascii="Consolas" w:cs="Consolas" w:eastAsia="Consolas" w:hAnsi="Consolas"/>
          <w:sz w:val="20"/>
          <w:szCs w:val="20"/>
        </w:rPr>
        <w:t xml:space="preserve">SDI × %CVR × D   (3.150% – 7.513%)</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INFONAVIT Patronal:  </w:t>
      </w:r>
      <w:r>
        <w:rPr>
          <w:rFonts w:ascii="Consolas" w:cs="Consolas" w:eastAsia="Consolas" w:hAnsi="Consolas"/>
          <w:sz w:val="20"/>
          <w:szCs w:val="20"/>
        </w:rPr>
        <w:t xml:space="preserve">SDI × 5.00% × D</w:t>
      </w:r>
    </w:p>
    <w:p>
      <w:pPr>
        <w:pStyle w:val="Heading2"/>
      </w:pPr>
      <w:r>
        <w:t xml:space="preserve">14.5 INFONAVIT trabajador</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Monto por Cuota Fija:  </w:t>
      </w:r>
      <w:r>
        <w:rPr>
          <w:rFonts w:ascii="Consolas" w:cs="Consolas" w:eastAsia="Consolas" w:hAnsi="Consolas"/>
          <w:sz w:val="20"/>
          <w:szCs w:val="20"/>
        </w:rPr>
        <w:t xml:space="preserve">Importe del aviso (mensual)</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Monto por VSM/UMI:  </w:t>
      </w:r>
      <w:r>
        <w:rPr>
          <w:rFonts w:ascii="Consolas" w:cs="Consolas" w:eastAsia="Consolas" w:hAnsi="Consolas"/>
          <w:sz w:val="20"/>
          <w:szCs w:val="20"/>
        </w:rPr>
        <w:t xml:space="preserve">VSM × UMI diaria</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Monto por Porcentaje:  </w:t>
      </w:r>
      <w:r>
        <w:rPr>
          <w:rFonts w:ascii="Consolas" w:cs="Consolas" w:eastAsia="Consolas" w:hAnsi="Consolas"/>
          <w:sz w:val="20"/>
          <w:szCs w:val="20"/>
        </w:rPr>
        <w:t xml:space="preserve">Salario Diario × %</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Monto Mensual Base:  </w:t>
      </w:r>
      <w:r>
        <w:rPr>
          <w:rFonts w:ascii="Consolas" w:cs="Consolas" w:eastAsia="Consolas" w:hAnsi="Consolas"/>
          <w:sz w:val="20"/>
          <w:szCs w:val="20"/>
        </w:rPr>
        <w:t xml:space="preserve">Σ componentes capturados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Monto Bimestral:  </w:t>
      </w:r>
      <w:r>
        <w:rPr>
          <w:rFonts w:ascii="Consolas" w:cs="Consolas" w:eastAsia="Consolas" w:hAnsi="Consolas"/>
          <w:sz w:val="20"/>
          <w:szCs w:val="20"/>
        </w:rPr>
        <w:t xml:space="preserve">Monto Mensual × 2 + Seguro Vivienda</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Descuento Semanal:  </w:t>
      </w:r>
      <w:r>
        <w:rPr>
          <w:rFonts w:ascii="Consolas" w:cs="Consolas" w:eastAsia="Consolas" w:hAnsi="Consolas"/>
          <w:sz w:val="20"/>
          <w:szCs w:val="20"/>
        </w:rPr>
        <w:t xml:space="preserve">Monto Bimestral / Núm. Descuentos del Bimestre (= 9)</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Validación operativa:  </w:t>
      </w:r>
      <w:r>
        <w:rPr>
          <w:rFonts w:ascii="Consolas" w:cs="Consolas" w:eastAsia="Consolas" w:hAnsi="Consolas"/>
          <w:sz w:val="20"/>
          <w:szCs w:val="20"/>
        </w:rPr>
        <w:t xml:space="preserve">Las fórmulas varían entre filas; revisar caso a caso contra el aviso INFONAVIT</w:t>
      </w:r>
    </w:p>
    <w:p>
      <w:pPr>
        <w:pStyle w:val="Heading2"/>
      </w:pPr>
      <w:r>
        <w:t xml:space="preserve">14.6 FONACOT</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Descuento Semanal Auxiliar:  </w:t>
      </w:r>
      <w:r>
        <w:rPr>
          <w:rFonts w:ascii="Consolas" w:cs="Consolas" w:eastAsia="Consolas" w:hAnsi="Consolas"/>
          <w:sz w:val="20"/>
          <w:szCs w:val="20"/>
        </w:rPr>
        <w:t xml:space="preserve">Monto Mensual / 4</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Aplicación al neto:  </w:t>
      </w:r>
      <w:r>
        <w:rPr>
          <w:rFonts w:ascii="Consolas" w:cs="Consolas" w:eastAsia="Consolas" w:hAnsi="Consolas"/>
          <w:sz w:val="20"/>
          <w:szCs w:val="20"/>
        </w:rPr>
        <w:t xml:space="preserve">Manual – no se enlaza automáticamente</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Descuento efectivo si no se captura:  </w:t>
      </w:r>
      <w:r>
        <w:rPr>
          <w:rFonts w:ascii="Consolas" w:cs="Consolas" w:eastAsia="Consolas" w:hAnsi="Consolas"/>
          <w:sz w:val="20"/>
          <w:szCs w:val="20"/>
        </w:rPr>
        <w:t xml:space="preserve">Cero, aunque exista cálculo auxiliar</w:t>
      </w:r>
    </w:p>
    <w:p>
      <w:pPr>
        <w:pStyle w:val="Heading2"/>
      </w:pPr>
      <w:r>
        <w:t xml:space="preserve">14.7 Neto pagado y complemento sindical</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Total Deducciones:  </w:t>
      </w:r>
      <w:r>
        <w:rPr>
          <w:rFonts w:ascii="Consolas" w:cs="Consolas" w:eastAsia="Consolas" w:hAnsi="Consolas"/>
          <w:sz w:val="20"/>
          <w:szCs w:val="20"/>
        </w:rPr>
        <w:t xml:space="preserve">Subsidio Reportado + ISR + IMSS Trab. + INFONAVIT + FONACOT + Pensión + Otros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Neto Teórico:  </w:t>
      </w:r>
      <w:r>
        <w:rPr>
          <w:rFonts w:ascii="Consolas" w:cs="Consolas" w:eastAsia="Consolas" w:hAnsi="Consolas"/>
          <w:sz w:val="20"/>
          <w:szCs w:val="20"/>
        </w:rPr>
        <w:t xml:space="preserve">Percepciones Gravables Recibo − Total Deducciones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Complemento (Sub. NO absorbido):  </w:t>
      </w:r>
      <w:r>
        <w:rPr>
          <w:rFonts w:ascii="Consolas" w:cs="Consolas" w:eastAsia="Consolas" w:hAnsi="Consolas"/>
          <w:sz w:val="20"/>
          <w:szCs w:val="20"/>
        </w:rPr>
        <w:t xml:space="preserve">Bruto Incidencias − Neto Teórico − (FONACOT + INFONAVIT + Otros + Pensión)</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Complemento (Sub. absorbido):  </w:t>
      </w:r>
      <w:r>
        <w:rPr>
          <w:rFonts w:ascii="Consolas" w:cs="Consolas" w:eastAsia="Consolas" w:hAnsi="Consolas"/>
          <w:sz w:val="20"/>
          <w:szCs w:val="20"/>
        </w:rPr>
        <w:t xml:space="preserve">REDONDEAR(Bruto Incidencias − Neto Teórico − Total Deducciones, 0)</w:t>
      </w:r>
    </w:p>
    <w:p>
      <w:pPr>
        <w:pStyle w:val="Heading2"/>
      </w:pPr>
      <w:r>
        <w:t xml:space="preserve">14.8 ISN</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Base ISN:  </w:t>
      </w:r>
      <w:r>
        <w:rPr>
          <w:rFonts w:ascii="Consolas" w:cs="Consolas" w:eastAsia="Consolas" w:hAnsi="Consolas"/>
          <w:sz w:val="20"/>
          <w:szCs w:val="20"/>
        </w:rPr>
        <w:t xml:space="preserve">Percepciones Recibo − Conceptos exentos por el estado</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ISN Zona A:  </w:t>
      </w:r>
      <w:r>
        <w:rPr>
          <w:rFonts w:ascii="Consolas" w:cs="Consolas" w:eastAsia="Consolas" w:hAnsi="Consolas"/>
          <w:sz w:val="20"/>
          <w:szCs w:val="20"/>
        </w:rPr>
        <w:t xml:space="preserve">Base × 4.00%</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ISN Zona B:  </w:t>
      </w:r>
      <w:r>
        <w:rPr>
          <w:rFonts w:ascii="Consolas" w:cs="Consolas" w:eastAsia="Consolas" w:hAnsi="Consolas"/>
          <w:sz w:val="20"/>
          <w:szCs w:val="20"/>
        </w:rPr>
        <w:t xml:space="preserve">Base × 4.25%</w:t>
      </w:r>
    </w:p>
    <w:p>
      <w:pPr>
        <w:pStyle w:val="Heading2"/>
      </w:pPr>
      <w:r>
        <w:t xml:space="preserve">14.9 Facturación al cliente</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Base Facturable:  </w:t>
      </w:r>
      <w:r>
        <w:rPr>
          <w:rFonts w:ascii="Consolas" w:cs="Consolas" w:eastAsia="Consolas" w:hAnsi="Consolas"/>
          <w:sz w:val="20"/>
          <w:szCs w:val="20"/>
        </w:rPr>
        <w:t xml:space="preserve">Maquila → Complemento Sindical; Nomina → Bruto Incidencias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Costo Social:  </w:t>
      </w:r>
      <w:r>
        <w:rPr>
          <w:rFonts w:ascii="Consolas" w:cs="Consolas" w:eastAsia="Consolas" w:hAnsi="Consolas"/>
          <w:sz w:val="20"/>
          <w:szCs w:val="20"/>
        </w:rPr>
        <w:t xml:space="preserve">ISR + IMSS Patronal + INFONAVIT Patronal</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Subtotal Sin Comisión:  </w:t>
      </w:r>
      <w:r>
        <w:rPr>
          <w:rFonts w:ascii="Consolas" w:cs="Consolas" w:eastAsia="Consolas" w:hAnsi="Consolas"/>
          <w:sz w:val="20"/>
          <w:szCs w:val="20"/>
        </w:rPr>
        <w:t xml:space="preserve">Base + ISN + Costo Social + Otros</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Comisión (Sobre Costo):  </w:t>
      </w:r>
      <w:r>
        <w:rPr>
          <w:rFonts w:ascii="Consolas" w:cs="Consolas" w:eastAsia="Consolas" w:hAnsi="Consolas"/>
          <w:sz w:val="20"/>
          <w:szCs w:val="20"/>
        </w:rPr>
        <w:t xml:space="preserve">Subtotal Sin Comisión × % comisión</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Comisión (Sobre Brutos):  </w:t>
      </w:r>
      <w:r>
        <w:rPr>
          <w:rFonts w:ascii="Consolas" w:cs="Consolas" w:eastAsia="Consolas" w:hAnsi="Consolas"/>
          <w:sz w:val="20"/>
          <w:szCs w:val="20"/>
        </w:rPr>
        <w:t xml:space="preserve">Base Facturable × % comisión</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Subtotal:  </w:t>
      </w:r>
      <w:r>
        <w:rPr>
          <w:rFonts w:ascii="Consolas" w:cs="Consolas" w:eastAsia="Consolas" w:hAnsi="Consolas"/>
          <w:sz w:val="20"/>
          <w:szCs w:val="20"/>
        </w:rPr>
        <w:t xml:space="preserve">Subtotal Sin Comisión + Comisión</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IVA:  </w:t>
      </w:r>
      <w:r>
        <w:rPr>
          <w:rFonts w:ascii="Consolas" w:cs="Consolas" w:eastAsia="Consolas" w:hAnsi="Consolas"/>
          <w:sz w:val="20"/>
          <w:szCs w:val="20"/>
        </w:rPr>
        <w:t xml:space="preserve">Subtotal × Tasa IVA configurada</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Total Facturado:  </w:t>
      </w:r>
      <w:r>
        <w:rPr>
          <w:rFonts w:ascii="Consolas" w:cs="Consolas" w:eastAsia="Consolas" w:hAnsi="Consolas"/>
          <w:sz w:val="20"/>
          <w:szCs w:val="20"/>
        </w:rPr>
        <w:t xml:space="preserve">Subtotal + IVA</w:t>
      </w:r>
    </w:p>
    <w:p>
      <w:pPr>
        <w:pBdr>
          <w:top w:val="single" w:color="BFBFBF" w:sz="4"/>
          <w:bottom w:val="single" w:color="BFBFBF" w:sz="4"/>
          <w:left w:val="single" w:color="BFBFBF" w:sz="4"/>
          <w:right w:val="single" w:color="BFBFBF" w:sz="4"/>
        </w:pBdr>
        <w:shd w:fill="FCE4D6" w:val="clear"/>
        <w:spacing w:after="60" w:before="40"/>
      </w:pPr>
      <w:r>
        <w:rPr>
          <w:b/>
          <w:bCs/>
          <w:sz w:val="20"/>
          <w:szCs w:val="20"/>
        </w:rPr>
        <w:t xml:space="preserve">Diferencia de Conciliación:  </w:t>
      </w:r>
      <w:r>
        <w:rPr>
          <w:rFonts w:ascii="Consolas" w:cs="Consolas" w:eastAsia="Consolas" w:hAnsi="Consolas"/>
          <w:sz w:val="20"/>
          <w:szCs w:val="20"/>
        </w:rPr>
        <w:t xml:space="preserve">Σ Costo por Trabajador − Total Facturado   (debe ser ≈ 0 por redondeo)</w:t>
      </w:r>
    </w:p>
    <w:p>
      <w:pPr>
        <w:pStyle w:val="Heading2"/>
      </w:pPr>
      <w:r>
        <w:t xml:space="preserve">14.10 Constantes capturadas en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Concepto</w:t>
            </w:r>
          </w:p>
        </w:tc>
        <w:tc>
          <w:tcPr>
            <w:tcW w:type="dxa" w:w="3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Valor</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Salario Mínimo Zona A (diario)</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$315.04</w:t>
            </w:r>
          </w:p>
        </w:tc>
      </w:tr>
      <w:tr>
        <w:tc>
          <w:tcPr>
            <w:tcW w:type="dxa" w:w="5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Salario Mínimo Zona B (diario)</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$440.87</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UMA (diaria)</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$113.14</w:t>
            </w:r>
          </w:p>
        </w:tc>
      </w:tr>
      <w:tr>
        <w:tc>
          <w:tcPr>
            <w:tcW w:type="dxa" w:w="5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3·UMA (umbral excedente IMSS)</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$339.42</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30·UMA (tope exento aguinaldo)</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$3,394.20</w:t>
            </w:r>
          </w:p>
        </w:tc>
      </w:tr>
      <w:tr>
        <w:tc>
          <w:tcPr>
            <w:tcW w:type="dxa" w:w="5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15·UMA (tope exento prima vacacional)</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$1,697.10</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UMI diaria</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$100.81</w:t>
            </w:r>
          </w:p>
        </w:tc>
      </w:tr>
      <w:tr>
        <w:tc>
          <w:tcPr>
            <w:tcW w:type="dxa" w:w="5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Subsidio al Empleo Semanal</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$109.29 hasta ingreso de $2,341.94</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PRT usada por el modelo</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2.5984%</w:t>
            </w:r>
          </w:p>
        </w:tc>
      </w:tr>
      <w:tr>
        <w:tc>
          <w:tcPr>
            <w:tcW w:type="dxa" w:w="5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ISN Zona A</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4.00%</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ISN Zona B</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4.25%</w:t>
            </w:r>
          </w:p>
        </w:tc>
      </w:tr>
      <w:tr>
        <w:tc>
          <w:tcPr>
            <w:tcW w:type="dxa" w:w="5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Comisión de referencia</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8.00%</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IVA general</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16.00%</w:t>
            </w:r>
          </w:p>
        </w:tc>
      </w:tr>
    </w:tbl>
    <w:p>
      <w:r>
        <w:br w:type="page"/>
      </w:r>
    </w:p>
    <w:p>
      <w:pPr>
        <w:pStyle w:val="Heading1"/>
      </w:pPr>
      <w:r>
        <w:t xml:space="preserve">15.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Término</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0"/>
                <w:szCs w:val="20"/>
              </w:rPr>
              <w:t xml:space="preserve">Significado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Bruto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Suma de todos los conceptos que percibe el trabajador antes de retenciones.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Neto Teórico</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Importe que se reporta como Neto Pagado en el recibo CFDI; corresponde a la dispersión fiscal.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Complemento Sindical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Diferencia entre el bruto de incidencias y el neto teórico, entregada al trabajador vía sindicato o cooperativa (esquema Maquila).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Total Nómina Facturable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Importe que se factura al cliente como base; depende del tipo de servicio.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SDI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Salario Diario Integrado. Salario nominal adicionado del factor de integración. Base para IMSS e INFONAVIT.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Factor de Integración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Constante que convierte el salario nominal a SDI. Para un trabajador con prestaciones mínimas de ley es 1.0452 durante el primer año.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UMA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Unidad de Medida y Actualización.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UMI</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Unidad Mixta INFONAVIT.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Prima de Riesgo (PRT)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Porcentaje asignado por la STPS según clase de riesgo. El modelo aplica 2.5984%.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Subsidio al Empleo</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Apoyo fiscal a trabajadores de bajos ingresos. Reduce el ISR. El modelo no entrega el excedente al trabajador.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CVR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Cuota Variable Patronal de Cesantía y Vejez. Tasa progresiva de 3.150% a 7.513%.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Tipo de Servicio</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Bandera del modelo (Maquila o Nómina) que determina la base facturable.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Subsidio Absorbido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Bandera (Sí/No) que indica si la empresa absorbe el subsidio al empleo en el complemento sindical.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STP</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Sistema de Transferencias y Pagos. Plataforma interbancaria utilizada para dispersar la nómina vía SPEI.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LMB</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Layout Múltiple Bancos. Plantillas .xlsm que no calculan impuestos ni cuotas; únicamente generan el archivo TXT con el layout STP para dispersión.</w:t>
            </w:r>
          </w:p>
        </w:tc>
      </w:tr>
    </w:tbl>
    <w:p>
      <w:pPr>
        <w:spacing w:before="400"/>
        <w:jc w:val="center"/>
      </w:pPr>
      <w:r>
        <w:rPr>
          <w:i/>
          <w:iCs/>
          <w:color w:val="808080"/>
        </w:rPr>
        <w:t xml:space="preserve">— Fin de la guía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Guía de Cálculo de Nómina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Cálculo de Nómina</dc:title>
  <dc:creator>Claude</dc:creator>
  <cp:lastModifiedBy>Un-named</cp:lastModifiedBy>
  <cp:revision>1</cp:revision>
  <dcterms:created xsi:type="dcterms:W3CDTF">2026-06-01T04:43:40.092Z</dcterms:created>
  <dcterms:modified xsi:type="dcterms:W3CDTF">2026-06-01T04:43:40.094Z</dcterms:modified>
</cp:coreProperties>
</file>

<file path=docProps/custom.xml><?xml version="1.0" encoding="utf-8"?>
<Properties xmlns="http://schemas.openxmlformats.org/officeDocument/2006/custom-properties" xmlns:vt="http://schemas.openxmlformats.org/officeDocument/2006/docPropsVTypes"/>
</file>