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le déroulement du projet et l'application des cours du module (chapitres 7 à 11) ;</w:t>
      </w:r>
    </w:p>
    <w:p>
      <w:pPr>
        <w:pStyle w:val="ListParagraph"/>
        <w:numPr>
          <w:ilvl w:val="0"/>
          <w:numId w:val="2"/>
        </w:numPr>
        <w:spacing w:after="60" w:line="300"/>
      </w:pPr>
      <w:r>
        <w:rPr>
          <w:rFonts w:ascii="Calibri" w:cs="Calibri" w:eastAsia="Calibri" w:hAnsi="Calibri"/>
          <w:sz w:val="22"/>
          <w:szCs w:val="22"/>
        </w:rPr>
        <w:t xml:space="preserve">les limites, les perspectives et les annexes : captures, extraits de code, sources, glossaire.</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non tracées, résultats jamais consolidés.</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Deux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problèmes.</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et synchronisation réseau</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hors ligne, base locale : aucune dépendance à un serveur.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captures correspondantes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d'abord : la base locale est la source de vérité ; les résultats validés sont remontés au serveur central quand le réseau le permet, sans jamais bloquer l'agent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chacun avec son menu et ses droits. Un utilisateur ne voit que les actions autorisées ; les contrôles sont faits dans les ViewModels, pas seulement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une empreinte avec sel est comparée à celle saisie. Une fois connecté, chaque rôle arrive sur son propre accueil, un menu en tuiles qui ne montre que ce qu'il a le droit de faire (figure 1 du chapitre 5 pour l'administrateur ATT). La session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 lève d'un bouton.</w:t>
      </w: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Épreuve théorique de la catégorie B : barème versionné et questions</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le change depuis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sur 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Dossier constitué par l'auto-école, prêt à être soumis</w:t>
      </w:r>
    </w:p>
    <w:p>
      <w:pPr>
        <w:spacing w:after="120" w:line="300"/>
      </w:pPr>
      <w:r>
        <w:rPr>
          <w:rFonts w:ascii="Calibri" w:cs="Calibri" w:eastAsia="Calibri" w:hAnsi="Calibri"/>
          <w:sz w:val="22"/>
          <w:szCs w:val="22"/>
        </w:rPr>
        <w:t xml:space="preserve">Sur la figure suivante, l'auto-école a joint une photo à la première pièce depuis les fichiers du téléphone : la pièce passe en « Photo jointe », avec les actions ouvrir, remplacer, retirer, et l'ATT pourra l'examiner sur écran. La dernière figure montre la pièce ouverte, avec les mêmes droits que le dossier.</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Pièce du dossier avec un fichier joint : ouvrir, remplacer, retirer</w:t>
      </w:r>
    </w:p>
    <w:p>
      <w:pPr>
        <w:jc w:val="center"/>
      </w:pPr>
      <w:r>
        <w:drawing>
          <wp:inline distT="0" distB="0" distL="0" distR="0">
            <wp:extent cx="2524125" cy="4486275"/>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sa propre fiche.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Décision de l'ATT : valider, incomplet ou refuser avec motif</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Création d'une session : les créneaux se calculent à la saisie</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Inscriptions d'une session : numéro d'appel, créneau, actions</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l'agent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en secours ; l'examinateur en reçoit une version sans les noms.</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pour ce candidat et cette épreuve, jamais réutilisé, jamais effacé, tracé dans l'historique. Un passage déjà terminé se consulte en lecture seule.</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Vue de l'examinateur : numéros d'appel, sans les noms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nous l'avons vécue. L'écran reproduit la feuille de l'examinateur : le sujet est tiré au sort par l'application jusqu'à la note maximale du barème, ou choisi question par question par l'examinateur selon la règle configurée. Pour chaque question, il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Détail d'un résultat avant validation par l'ATT</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Parcours du candidat, vu avec son compte</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ou sans noms selon le rôle), la liste des admis et le relevé de résultat.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Relevé de résultat, prêt à imprimer</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Vingt-cinq entités Room, reliées par des clés étrangères, en six familles. Le schéma complet, avec chaque attribut et chaque statut, est dans le document docs/03 du dépôt ; il est exporté par Room dans app/schemas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Exemple type : l'écran des inscriptions collecte un StateFlow construit par combine sur les flux Room ; chaque action appelle une fonction du ViewModel qui vérifie la règle pure puis écrit dans une transaction avec sa ligne d'historique.</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 et hors ligne</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avec sel, comparaison d'empreintes.</w:t>
      </w:r>
    </w:p>
    <w:p>
      <w:pPr>
        <w:pStyle w:val="ListParagraph"/>
        <w:numPr>
          <w:ilvl w:val="0"/>
          <w:numId w:val="2"/>
        </w:numPr>
        <w:spacing w:after="60" w:line="300"/>
      </w:pPr>
      <w:r>
        <w:rPr>
          <w:rFonts w:ascii="Calibri" w:cs="Calibri" w:eastAsia="Calibri" w:hAnsi="Calibri"/>
          <w:sz w:val="22"/>
          <w:szCs w:val="22"/>
        </w:rPr>
        <w:t xml:space="preserve">Session utilisateur en mémoire, reconnexion à chaque lancement ; chaque ViewModel filtre ses requêtes selon le rôle.</w:t>
      </w:r>
    </w:p>
    <w:p>
      <w:pPr>
        <w:pStyle w:val="ListParagraph"/>
        <w:numPr>
          <w:ilvl w:val="0"/>
          <w:numId w:val="2"/>
        </w:numPr>
        <w:spacing w:after="60" w:line="300"/>
      </w:pPr>
      <w:r>
        <w:rPr>
          <w:rFonts w:ascii="Calibri" w:cs="Calibri" w:eastAsia="Calibri" w:hAnsi="Calibri"/>
          <w:sz w:val="22"/>
          <w:szCs w:val="22"/>
        </w:rPr>
        <w:t xml:space="preserve">Base Room locale, source de vérité ; aucune fonction ne dépend du réseau.</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 »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8.0 (API 26)</w:t>
            </w:r>
          </w:p>
        </w:tc>
      </w:tr>
    </w:tbl>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127 tests unitaires passent. Les classes de test, une par famille de règles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ExampleUnitTest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L'historique conserve l'auteur, la date, l'action, le motif, l'ancienne et la nouvelle valeur, et se consulte depuis chaque fiche et depuis un écran global filtrable.</w:t>
      </w:r>
    </w:p>
    <w:p>
      <w:pPr>
        <w:pStyle w:val="Heading1"/>
        <w:pageBreakBefore/>
        <w:spacing w:after="200" w:before="360"/>
      </w:pPr>
      <w:r>
        <w:rPr>
          <w:rFonts w:ascii="Calibri" w:cs="Calibri" w:eastAsia="Calibri" w:hAnsi="Calibri"/>
          <w:b/>
          <w:bCs/>
          <w:color w:val="0F4C81"/>
          <w:sz w:val="32"/>
          <w:szCs w:val="32"/>
        </w:rPr>
        <w:t xml:space="preserve">10. Déroulement du projet</w:t>
      </w:r>
    </w:p>
    <w:p>
      <w:pPr>
        <w:pStyle w:val="Heading2"/>
        <w:spacing w:after="140" w:before="280"/>
      </w:pPr>
      <w:r>
        <w:rPr>
          <w:rFonts w:ascii="Calibri" w:cs="Calibri" w:eastAsia="Calibri" w:hAnsi="Calibri"/>
          <w:b/>
          <w:bCs/>
          <w:color w:val="0B2E4F"/>
          <w:sz w:val="26"/>
          <w:szCs w:val="26"/>
        </w:rPr>
        <w:t xml:space="preserve">10.1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pull request relue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pilote qui rejoue les scénarios par le texte des boutons.</w:t>
      </w:r>
    </w:p>
    <w:p>
      <w:pPr>
        <w:pStyle w:val="Heading2"/>
        <w:spacing w:after="140" w:before="280"/>
      </w:pPr>
      <w:r>
        <w:rPr>
          <w:rFonts w:ascii="Calibri" w:cs="Calibri" w:eastAsia="Calibri" w:hAnsi="Calibri"/>
          <w:b/>
          <w:bCs/>
          <w:color w:val="0B2E4F"/>
          <w:sz w:val="26"/>
          <w:szCs w:val="26"/>
        </w:rPr>
        <w:t xml:space="preserve">10.2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 refonte de l'interface</w:t>
            </w:r>
          </w:p>
        </w:tc>
      </w:tr>
    </w:tbl>
    <w:p>
      <w:pPr>
        <w:spacing w:after="160"/>
      </w:pPr>
    </w:p>
    <w:p>
      <w:pPr>
        <w:pStyle w:val="Heading2"/>
        <w:spacing w:after="140" w:before="280"/>
      </w:pPr>
      <w:r>
        <w:rPr>
          <w:rFonts w:ascii="Calibri" w:cs="Calibri" w:eastAsia="Calibri" w:hAnsi="Calibri"/>
          <w:b/>
          <w:bCs/>
          <w:color w:val="0B2E4F"/>
          <w:sz w:val="26"/>
          <w:szCs w:val="26"/>
        </w:rPr>
        <w:t xml:space="preserve">10.3 Durée réelle et bilan</w:t>
      </w:r>
    </w:p>
    <w:p>
      <w:pPr>
        <w:spacing w:after="120" w:line="300"/>
      </w:pPr>
      <w:r>
        <w:rPr>
          <w:rFonts w:ascii="Calibri" w:cs="Calibri" w:eastAsia="Calibri" w:hAnsi="Calibri"/>
          <w:sz w:val="22"/>
          <w:szCs w:val="22"/>
        </w:rPr>
        <w:t xml:space="preserve">Le cadrage (règles, plan, modèle de données, cas d'utilisation) a été écrit avant la première ligne de code, en une journée, et n'a presque pas bougé ensuite : c'est ce qui a permis d'enchaîner les étapes sans revenir en arrière. Le socle technique et les premières fonctionnalités ont suivi en deux jours ; les évaluations, les résultats, la consultation et l'impression en deux jours de plus ; puis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notre propre passage de l'examen, en feuille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11.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sont écrites sans boucle explicite quand une fonction de collection suffit : tirage du sujet, total des points, filtrage des candidats éligibles ; l'opérateur !! est interdit par nos règles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seul état local (remember)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ViewModel par fonctionnalité, un StateFlow d'état immuable par écran, MutableStateFlow privé ; ViewModel de session partagé au-dessus de la navigation, ViewModels de sous-parcours partagés entre liste, fiche et formulaire</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Vingt-cinq entités avec clés étrangères et index, requêtes Flow combinées par combine puis stateIn ; la base locale est la seule source ; les résultats validés portent un drapeau synchronisé et sont remontés au serveur central par une file d'attente, exactement comme la démonstration du cours</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11.1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le fichier docs/HORS_COURS.md du dépôt (vingt-sept entrées). Deux exemples de ce que nous avons refusé ou remplacé : le Repository,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12. Limites et perspectives</w:t>
      </w:r>
    </w:p>
    <w:p>
      <w:pPr>
        <w:pStyle w:val="Heading2"/>
        <w:spacing w:after="140" w:before="280"/>
      </w:pPr>
      <w:r>
        <w:rPr>
          <w:rFonts w:ascii="Calibri" w:cs="Calibri" w:eastAsia="Calibri" w:hAnsi="Calibri"/>
          <w:b/>
          <w:bCs/>
          <w:color w:val="0B2E4F"/>
          <w:sz w:val="26"/>
          <w:szCs w:val="26"/>
        </w:rPr>
        <w:t xml:space="preserve">11.1 Limites</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w:t>
      </w:r>
    </w:p>
    <w:p>
      <w:pPr>
        <w:pStyle w:val="ListParagraph"/>
        <w:numPr>
          <w:ilvl w:val="0"/>
          <w:numId w:val="2"/>
        </w:numPr>
        <w:spacing w:after="60" w:line="300"/>
      </w:pPr>
      <w:r>
        <w:rPr>
          <w:rFonts w:ascii="Calibri" w:cs="Calibri" w:eastAsia="Calibri" w:hAnsi="Calibri"/>
          <w:sz w:val="22"/>
          <w:szCs w:val="22"/>
        </w:rPr>
        <w:t xml:space="preserve">Le serveur central est simulé en mémoire : la synchronisation est démontrée, pas raccordée à une infrastructure réelle.</w:t>
      </w:r>
    </w:p>
    <w:p>
      <w:pPr>
        <w:pStyle w:val="Heading2"/>
        <w:spacing w:after="140" w:before="280"/>
      </w:pPr>
      <w:r>
        <w:rPr>
          <w:rFonts w:ascii="Calibri" w:cs="Calibri" w:eastAsia="Calibri" w:hAnsi="Calibri"/>
          <w:b/>
          <w:bCs/>
          <w:color w:val="0B2E4F"/>
          <w:sz w:val="26"/>
          <w:szCs w:val="26"/>
        </w:rPr>
        <w:t xml:space="preserve">11.2 Perspectives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chiffrer le stockage si l'ATT le demande.</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13.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intéressées,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quelques semaines à deux, pouvait atteindre. Ça pourrait être tellement mieux. Les barèmes et la grille de conduite sont des exemples ; le serveur est simulé ; les pièces du dossier ne sont pas encore jointes en photo ; l'interface mériterait d'être testée avec de vrais agents dans un vrai centre. Aucune de ces limites n'est un mur : chacune est une étape déjà nommée,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regroupées ici par étape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épreuve théorique B</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d'examen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Dossier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sur le dossier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(examinateur)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de conduite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à valider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repassage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Relevé imprimable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metier/ReglesTentatives.kt</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test/ReglesTentativesTest.kt</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La fonction ne connaît ni Android ni la base : elle reçoit des valeurs et rend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 décret 2026-974</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(2024–2026)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spacing w:after="120" w:line="300"/>
      </w:pPr>
      <w:r>
        <w:rPr>
          <w:rFonts w:ascii="Calibri" w:cs="Calibri" w:eastAsia="Calibri" w:hAnsi="Calibri"/>
          <w:sz w:val="22"/>
          <w:szCs w:val="22"/>
        </w:rPr>
        <w:t xml:space="preserve">Le détail des sources, avec le niveau de fiabilité et la citation exacte, est dans le fichier docs/references/RECHERCHE_ATT_ET_ANDROID.md du dépôt.</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 les trois derniers n'existent pas dans la version livrée.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20 / 12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bf2116d6fbdab8925455bfa90f510de2b9ce7f8.png"/><Relationship Id="rId14" Type="http://schemas.openxmlformats.org/officeDocument/2006/relationships/image" Target="media/468a493f4989a62681c5192f63a3bb665a963f19.png"/><Relationship Id="rId15" Type="http://schemas.openxmlformats.org/officeDocument/2006/relationships/image" Target="media/b3b82e7709610888315f96910399e93ca0ac61ee.png"/><Relationship Id="rId16" Type="http://schemas.openxmlformats.org/officeDocument/2006/relationships/image" Target="media/1607c4fc213cdb00ceabc2c68f957606b605911a.png"/><Relationship Id="rId17" Type="http://schemas.openxmlformats.org/officeDocument/2006/relationships/image" Target="media/40e01f74187df98d6440fe40eba7dabcc3256a5c.png"/><Relationship Id="rId18" Type="http://schemas.openxmlformats.org/officeDocument/2006/relationships/image" Target="media/ef67f98b555072311f9abb6878d8b2d2a90900b4.png"/><Relationship Id="rId19" Type="http://schemas.openxmlformats.org/officeDocument/2006/relationships/image" Target="media/7e33869a80f3ad1f8b153f14c778a0bacb139c7f.png"/><Relationship Id="rId20" Type="http://schemas.openxmlformats.org/officeDocument/2006/relationships/image" Target="media/62c9a7328ee8be035ca0f0759e014d8c88ecd5a0.png"/><Relationship Id="rId21" Type="http://schemas.openxmlformats.org/officeDocument/2006/relationships/image" Target="media/aa38a45f650648e72f13182e276b8958f6107523.png"/><Relationship Id="rId22" Type="http://schemas.openxmlformats.org/officeDocument/2006/relationships/image" Target="media/89efad494a19e87e2e94dabb2b0459db4950fd56.png"/><Relationship Id="rId23" Type="http://schemas.openxmlformats.org/officeDocument/2006/relationships/image" Target="media/5536d83e3aa2a268e3620169cac0f56d8e1b4943.png"/><Relationship Id="rId24" Type="http://schemas.openxmlformats.org/officeDocument/2006/relationships/image" Target="media/86dd29c4629e62cff8bb18babe0716262600a2d5.png"/><Relationship Id="rId25" Type="http://schemas.openxmlformats.org/officeDocument/2006/relationships/image" Target="media/462c39dccc95ab6d85f542e778df2cc3ca4edf93.png"/><Relationship Id="rId26" Type="http://schemas.openxmlformats.org/officeDocument/2006/relationships/image" Target="media/1f5da09c71fa027653b67505e273e94ce01653eb.png"/><Relationship Id="rId27" Type="http://schemas.openxmlformats.org/officeDocument/2006/relationships/image" Target="media/282d67aeafc460464e68901336bd44b244f90ddc.png"/><Relationship Id="rId28" Type="http://schemas.openxmlformats.org/officeDocument/2006/relationships/image" Target="media/f5c991911e9f3c6ac0f0b62f979d2f4f601bc1a5.png"/><Relationship Id="rId29" Type="http://schemas.openxmlformats.org/officeDocument/2006/relationships/image" Target="media/e669896a4cbc863e01c0ab852cbebe45135ff8f5.png"/><Relationship Id="rId30" Type="http://schemas.openxmlformats.org/officeDocument/2006/relationships/image" Target="media/eb467205c9a249e3ad1f2f86f9c59615fce1c41a.png"/><Relationship Id="rId31" Type="http://schemas.openxmlformats.org/officeDocument/2006/relationships/image" Target="media/a6885f70a0b94578df4b20e604253583d07aa6dd.png"/><Relationship Id="rId32" Type="http://schemas.openxmlformats.org/officeDocument/2006/relationships/image" Target="media/c983a64eeda7b403a089b8c800c5b6925b9f3dc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2026-09-18T12:58:31.171Z</dcterms:created>
  <dcterms:modified xsi:type="dcterms:W3CDTF">2026-09-18T12:58:31.171Z</dcterms:modified>
</cp:coreProperties>
</file>

<file path=docProps/custom.xml><?xml version="1.0" encoding="utf-8"?>
<Properties xmlns="http://schemas.openxmlformats.org/officeDocument/2006/custom-properties" xmlns:vt="http://schemas.openxmlformats.org/officeDocument/2006/docPropsVTypes"/>
</file>