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none" w:sz="0"/>
              <w:left w:val="none" w:sz="0"/>
              <w:bottom w:val="none" w:sz="0"/>
              <w:right w:val="none" w:sz="0"/>
            </w:tcBorders>
            <w:vAlign w:val="center"/>
          </w:tcPr>
          <w:p>
            <w:pPr>
              <w:jc w:val="center"/>
            </w:pPr>
            <w:r>
              <w:drawing>
                <wp:inline distT="0" distB="0" distL="0" distR="0">
                  <wp:extent cx="1314450" cy="8667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1314450" cy="866775"/>
                          </a:xfrm>
                          <a:prstGeom prst="rect">
                            <a:avLst/>
                          </a:prstGeom>
                        </pic:spPr>
                      </pic:pic>
                    </a:graphicData>
                  </a:graphic>
                </wp:inline>
              </w:drawing>
            </w:r>
          </w:p>
        </w:tc>
        <w:tc>
          <w:tcPr>
            <w:tcW w:type="dxa" w:w="4600"/>
            <w:tcBorders>
              <w:top w:val="none" w:sz="0"/>
              <w:left w:val="none" w:sz="0"/>
              <w:bottom w:val="none" w:sz="0"/>
              <w:right w:val="none" w:sz="0"/>
            </w:tcBorders>
            <w:vAlign w:val="center"/>
          </w:tcPr>
          <w:p>
            <w:pPr>
              <w:jc w:val="center"/>
            </w:pPr>
            <w:r>
              <w:drawing>
                <wp:inline distT="0" distB="0" distL="0" distR="0">
                  <wp:extent cx="1152525" cy="115252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1152525" cy="1152525"/>
                          </a:xfrm>
                          <a:prstGeom prst="rect">
                            <a:avLst/>
                          </a:prstGeom>
                        </pic:spPr>
                      </pic:pic>
                    </a:graphicData>
                  </a:graphic>
                </wp:inline>
              </w:drawing>
            </w:r>
          </w:p>
        </w:tc>
      </w:tr>
    </w:tbl>
    <w:p>
      <w:pPr>
        <w:spacing w:after="120" w:before="400"/>
        <w:jc w:val="center"/>
      </w:pPr>
      <w:r>
        <w:rPr>
          <w:rFonts w:ascii="Calibri" w:cs="Calibri" w:eastAsia="Calibri" w:hAnsi="Calibri"/>
          <w:color w:val="000000"/>
          <w:sz w:val="24"/>
          <w:szCs w:val="24"/>
        </w:rPr>
        <w:t xml:space="preserve">ITUniversity — Antananarivo</w:t>
      </w:r>
    </w:p>
    <w:p>
      <w:pPr>
        <w:spacing w:after="2400" w:before="0"/>
        <w:jc w:val="center"/>
      </w:pPr>
      <w:r>
        <w:rPr>
          <w:rFonts w:ascii="Calibri" w:cs="Calibri" w:eastAsia="Calibri" w:hAnsi="Calibri"/>
          <w:color w:val="000000"/>
          <w:sz w:val="22"/>
          <w:szCs w:val="22"/>
        </w:rPr>
        <w:t xml:space="preserve">Master 1 — Initiation au développement mobile natif Kotlin, assistée par IA</w:t>
      </w:r>
    </w:p>
    <w:p>
      <w:pPr>
        <w:pBdr>
          <w:bottom w:val="single" w:color="000000" w:sz="18" w:space="12"/>
        </w:pBdr>
        <w:spacing w:after="200"/>
        <w:jc w:val="center"/>
      </w:pPr>
      <w:r>
        <w:rPr>
          <w:rFonts w:ascii="Calibri" w:cs="Calibri" w:eastAsia="Calibri" w:hAnsi="Calibri"/>
          <w:b/>
          <w:bCs/>
          <w:color w:val="000000"/>
          <w:sz w:val="96"/>
          <w:szCs w:val="96"/>
        </w:rPr>
        <w:t xml:space="preserve">ATT</w:t>
      </w:r>
    </w:p>
    <w:p>
      <w:pPr>
        <w:spacing w:after="100" w:before="200"/>
        <w:jc w:val="center"/>
      </w:pPr>
      <w:r>
        <w:rPr>
          <w:rFonts w:ascii="Calibri" w:cs="Calibri" w:eastAsia="Calibri" w:hAnsi="Calibri"/>
          <w:b/>
          <w:bCs/>
          <w:color w:val="000000"/>
          <w:sz w:val="40"/>
          <w:szCs w:val="40"/>
        </w:rPr>
        <w:t xml:space="preserve">Digitalisation des examens du permis de conduire</w:t>
      </w:r>
    </w:p>
    <w:p>
      <w:pPr>
        <w:spacing w:after="900" w:before="0"/>
        <w:jc w:val="center"/>
      </w:pPr>
      <w:r>
        <w:rPr>
          <w:rFonts w:ascii="Calibri" w:cs="Calibri" w:eastAsia="Calibri" w:hAnsi="Calibri"/>
          <w:color w:val="000000"/>
          <w:sz w:val="26"/>
          <w:szCs w:val="26"/>
        </w:rPr>
        <w:t xml:space="preserve">Agence des Transports Terrestres — Madagascar</w:t>
      </w:r>
    </w:p>
    <w:p>
      <w:pPr>
        <w:spacing w:after="100" w:before="0"/>
        <w:jc w:val="center"/>
      </w:pPr>
      <w:r>
        <w:rPr>
          <w:rFonts w:ascii="Calibri" w:cs="Calibri" w:eastAsia="Calibri" w:hAnsi="Calibri"/>
          <w:b/>
          <w:bCs/>
          <w:color w:val="000000"/>
          <w:sz w:val="32"/>
          <w:szCs w:val="32"/>
        </w:rPr>
        <w:t xml:space="preserve">Rapport technique</w:t>
      </w:r>
    </w:p>
    <w:p>
      <w:pPr>
        <w:spacing w:after="2400" w:before="0"/>
        <w:jc w:val="center"/>
      </w:pPr>
      <w:r>
        <w:rPr>
          <w:rFonts w:ascii="Calibri" w:cs="Calibri" w:eastAsia="Calibri" w:hAnsi="Calibri"/>
          <w:color w:val="000000"/>
          <w:sz w:val="22"/>
          <w:szCs w:val="22"/>
        </w:rPr>
        <w:t xml:space="preserve">Application Android — Kotlin, Jetpack Compose, Room</w:t>
      </w:r>
    </w:p>
    <w:p>
      <w:pPr>
        <w:spacing w:after="80" w:before="0"/>
        <w:jc w:val="center"/>
      </w:pPr>
      <w:r>
        <w:rPr>
          <w:rFonts w:ascii="Calibri" w:cs="Calibri" w:eastAsia="Calibri" w:hAnsi="Calibri"/>
          <w:color w:val="000000"/>
          <w:sz w:val="22"/>
          <w:szCs w:val="22"/>
        </w:rPr>
        <w:t xml:space="preserve">Réalisé par</w:t>
      </w:r>
    </w:p>
    <w:p>
      <w:pPr>
        <w:spacing w:after="60" w:before="0"/>
        <w:jc w:val="center"/>
      </w:pPr>
      <w:r>
        <w:rPr>
          <w:rFonts w:ascii="Calibri" w:cs="Calibri" w:eastAsia="Calibri" w:hAnsi="Calibri"/>
          <w:b/>
          <w:bCs/>
          <w:color w:val="000000"/>
          <w:sz w:val="28"/>
          <w:szCs w:val="28"/>
        </w:rPr>
        <w:t xml:space="preserve">MAMINIAINA Ericka Fitiavana ETU001965</w:t>
      </w:r>
    </w:p>
    <w:p>
      <w:pPr>
        <w:spacing w:after="60" w:before="0"/>
        <w:jc w:val="center"/>
      </w:pPr>
      <w:r>
        <w:rPr>
          <w:rFonts w:ascii="Calibri" w:cs="Calibri" w:eastAsia="Calibri" w:hAnsi="Calibri"/>
          <w:b/>
          <w:bCs/>
          <w:color w:val="000000"/>
          <w:sz w:val="28"/>
          <w:szCs w:val="28"/>
        </w:rPr>
        <w:t xml:space="preserve">ONINIAINA Mahery Harentsoa Arthur ETU002446</w:t>
      </w:r>
    </w:p>
    <w:p>
      <w:pPr>
        <w:spacing w:after="0" w:before="900"/>
        <w:jc w:val="center"/>
      </w:pPr>
      <w:r>
        <w:rPr>
          <w:rFonts w:ascii="Calibri" w:cs="Calibri" w:eastAsia="Calibri" w:hAnsi="Calibri"/>
          <w:color w:val="000000"/>
          <w:sz w:val="22"/>
          <w:szCs w:val="22"/>
        </w:rPr>
        <w:t xml:space="preserve">Année universitaire 2025-2026</w:t>
      </w:r>
    </w:p>
    <w:p>
      <w:r>
        <w:br w:type="page"/>
      </w:r>
    </w:p>
    <w:p>
      <w:pPr>
        <w:spacing w:after="240"/>
      </w:pPr>
      <w:r>
        <w:rPr>
          <w:rFonts w:ascii="Calibri" w:cs="Calibri" w:eastAsia="Calibri" w:hAnsi="Calibri"/>
          <w:b/>
          <w:bCs/>
          <w:color w:val="0000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00000"/>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00000"/>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140" w:before="280"/>
      </w:pPr>
      <w:r>
        <w:rPr>
          <w:rFonts w:ascii="Calibri" w:cs="Calibri" w:eastAsia="Calibri" w:hAnsi="Calibri"/>
          <w:b/>
          <w:bCs/>
          <w:color w:val="000000"/>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00000"/>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140" w:before="280"/>
      </w:pPr>
      <w:r>
        <w:rPr>
          <w:rFonts w:ascii="Calibri" w:cs="Calibri" w:eastAsia="Calibri" w:hAnsi="Calibri"/>
          <w:b/>
          <w:bCs/>
          <w:color w:val="000000"/>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00000"/>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00000"/>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00000"/>
          <w:sz w:val="32"/>
          <w:szCs w:val="32"/>
        </w:rPr>
        <w:t xml:space="preserve">3. Objectifs et périmètre</w:t>
      </w:r>
    </w:p>
    <w:p>
      <w:pPr>
        <w:pStyle w:val="Heading2"/>
        <w:spacing w:after="140" w:before="280"/>
      </w:pPr>
      <w:r>
        <w:rPr>
          <w:rFonts w:ascii="Calibri" w:cs="Calibri" w:eastAsia="Calibri" w:hAnsi="Calibri"/>
          <w:b/>
          <w:bCs/>
          <w:color w:val="000000"/>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00000"/>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Dans le périmètre</w:t>
            </w:r>
          </w:p>
        </w:tc>
        <w:tc>
          <w:tcPr>
            <w:tcW w:type="dxa" w:w="4059"/>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00000"/>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00000"/>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Problème observé</w:t>
            </w:r>
          </w:p>
        </w:tc>
        <w:tc>
          <w:tcPr>
            <w:tcW w:type="dxa" w:w="469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Réponse de l'application</w:t>
            </w:r>
          </w:p>
        </w:tc>
        <w:tc>
          <w:tcPr>
            <w:tcW w:type="dxa" w:w="198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00000"/>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Rôle</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Ce qu'il fait</w:t>
            </w:r>
          </w:p>
        </w:tc>
        <w:tc>
          <w:tcPr>
            <w:tcW w:type="dxa" w:w="234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00000"/>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00000"/>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 — Écran de connexion</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 — Accueil du super administrateur : configuration et comptes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6 — Accueil de l'examinateur : sessions du jour, évaluations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7 — Accueil du candidat : son parcours</w:t>
      </w:r>
    </w:p>
    <w:p>
      <w:pPr>
        <w:pStyle w:val="Heading2"/>
        <w:spacing w:after="140" w:before="280"/>
      </w:pPr>
      <w:r>
        <w:rPr>
          <w:rFonts w:ascii="Calibri" w:cs="Calibri" w:eastAsia="Calibri" w:hAnsi="Calibri"/>
          <w:b/>
          <w:bCs/>
          <w:color w:val="000000"/>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9 — Les catégories de permis, point d'entrée de la configuration</w:t>
      </w:r>
    </w:p>
    <w:p>
      <w:pPr>
        <w:jc w:val="center"/>
      </w:pPr>
      <w:r>
        <w:drawing>
          <wp:inline distT="0" distB="0" distL="0" distR="0">
            <wp:extent cx="1981200" cy="3524250"/>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10 — Les comptes, vus par le super administrateur</w:t>
      </w:r>
    </w:p>
    <w:p>
      <w:pPr>
        <w:pStyle w:val="Heading2"/>
        <w:spacing w:after="140" w:before="280"/>
      </w:pPr>
      <w:r>
        <w:rPr>
          <w:rFonts w:ascii="Calibri" w:cs="Calibri" w:eastAsia="Calibri" w:hAnsi="Calibri"/>
          <w:b/>
          <w:bCs/>
          <w:color w:val="000000"/>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11 — Liste des centres, rattachés à leur région</w:t>
      </w:r>
    </w:p>
    <w:p>
      <w:pPr>
        <w:pStyle w:val="Heading2"/>
        <w:spacing w:after="140" w:before="280"/>
      </w:pPr>
      <w:r>
        <w:rPr>
          <w:rFonts w:ascii="Calibri" w:cs="Calibri" w:eastAsia="Calibri" w:hAnsi="Calibri"/>
          <w:b/>
          <w:bCs/>
          <w:color w:val="000000"/>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12 — Fiche d'une auto-école et ses comptes</w:t>
      </w:r>
    </w:p>
    <w:p>
      <w:pPr>
        <w:pStyle w:val="Heading2"/>
        <w:spacing w:after="140" w:before="280"/>
      </w:pPr>
      <w:r>
        <w:rPr>
          <w:rFonts w:ascii="Calibri" w:cs="Calibri" w:eastAsia="Calibri" w:hAnsi="Calibri"/>
          <w:b/>
          <w:bCs/>
          <w:color w:val="000000"/>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13 — Création d'un examinateur avec son compte</w:t>
      </w:r>
    </w:p>
    <w:p>
      <w:pPr>
        <w:pStyle w:val="Heading2"/>
        <w:spacing w:after="140" w:before="280"/>
      </w:pPr>
      <w:r>
        <w:rPr>
          <w:rFonts w:ascii="Calibri" w:cs="Calibri" w:eastAsia="Calibri" w:hAnsi="Calibri"/>
          <w:b/>
          <w:bCs/>
          <w:color w:val="000000"/>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14 — Dossier constitué par l'auto-école, prêt à être soumis</w:t>
      </w:r>
    </w:p>
    <w:p>
      <w:pPr>
        <w:jc w:val="center"/>
      </w:pPr>
      <w:r>
        <w:drawing>
          <wp:inline distT="0" distB="0" distL="0" distR="0">
            <wp:extent cx="1981200" cy="3524250"/>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16 — Pièce du dossier avec un fichier joint : ouvrir, remplacer, retirer</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17 — La pièce jointe ouverte par l'ATT ou l'auto-école</w:t>
      </w:r>
    </w:p>
    <w:p>
      <w:pPr>
        <w:pStyle w:val="Heading2"/>
        <w:spacing w:after="140" w:before="280"/>
      </w:pPr>
      <w:r>
        <w:rPr>
          <w:rFonts w:ascii="Calibri" w:cs="Calibri" w:eastAsia="Calibri" w:hAnsi="Calibri"/>
          <w:b/>
          <w:bCs/>
          <w:color w:val="000000"/>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18 — Décision de l'ATT : valider, incomplet ou refuser avec motif</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00000"/>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20 — Création d'une session : les créneaux se calculent à la saisie</w:t>
      </w:r>
    </w:p>
    <w:p>
      <w:pPr>
        <w:jc w:val="center"/>
      </w:pPr>
      <w:r>
        <w:drawing>
          <wp:inline distT="0" distB="0" distL="0" distR="0">
            <wp:extent cx="1981200" cy="3524250"/>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00000"/>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23 — Inscriptions d'une session : numéro d'appel, créneau, actions</w:t>
      </w:r>
    </w:p>
    <w:p>
      <w:pPr>
        <w:jc w:val="center"/>
      </w:pPr>
      <w:r>
        <w:drawing>
          <wp:inline distT="0" distB="0" distL="0" distR="0">
            <wp:extent cx="1981200" cy="3524250"/>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00000"/>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25 — Appel d'une session : présents, retards, absents</w:t>
      </w:r>
    </w:p>
    <w:p>
      <w:pPr>
        <w:pStyle w:val="Heading2"/>
        <w:spacing w:after="140" w:before="280"/>
      </w:pPr>
      <w:r>
        <w:rPr>
          <w:rFonts w:ascii="Calibri" w:cs="Calibri" w:eastAsia="Calibri" w:hAnsi="Calibri"/>
          <w:b/>
          <w:bCs/>
          <w:color w:val="000000"/>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26 — Vue de l'examinateur : numéros d'appel, sans les noms</w:t>
      </w:r>
    </w:p>
    <w:p>
      <w:pPr>
        <w:jc w:val="center"/>
      </w:pPr>
      <w:r>
        <w:drawing>
          <wp:inline distT="0" distB="0" distL="0" distR="0">
            <wp:extent cx="1981200" cy="3524250"/>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00000"/>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00000"/>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00000"/>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30 — Détail d'un résultat avant validation par l'ATT</w:t>
      </w:r>
    </w:p>
    <w:p>
      <w:pPr>
        <w:jc w:val="center"/>
      </w:pPr>
      <w:r>
        <w:drawing>
          <wp:inline distT="0" distB="0" distL="0" distR="0">
            <wp:extent cx="1981200" cy="3524250"/>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00000"/>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00000"/>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34 — Parcours du candidat, vu avec son compte</w:t>
      </w:r>
    </w:p>
    <w:p>
      <w:pPr>
        <w:jc w:val="center"/>
      </w:pPr>
      <w:r>
        <w:drawing>
          <wp:inline distT="0" distB="0" distL="0" distR="0">
            <wp:extent cx="1981200" cy="3524250"/>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00000"/>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37 — Relevé de résultat, prêt à imprimer</w:t>
      </w:r>
    </w:p>
    <w:p>
      <w:pPr>
        <w:jc w:val="center"/>
      </w:pPr>
      <w:r>
        <w:drawing>
          <wp:inline distT="0" distB="0" distL="0" distR="0">
            <wp:extent cx="1981200" cy="3524250"/>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38 — Liste d'appel imprimable d'une session, avec cases à cocher</w:t>
      </w:r>
    </w:p>
    <w:p>
      <w:pPr>
        <w:jc w:val="center"/>
      </w:pPr>
      <w:r>
        <w:drawing>
          <wp:inline distT="0" distB="0" distL="0" distR="0">
            <wp:extent cx="1981200" cy="3524250"/>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00000"/>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40 — Journal des modifications, filtrable</w:t>
      </w:r>
    </w:p>
    <w:p>
      <w:pPr>
        <w:pStyle w:val="Heading2"/>
        <w:spacing w:after="140" w:before="280"/>
      </w:pPr>
      <w:r>
        <w:rPr>
          <w:rFonts w:ascii="Calibri" w:cs="Calibri" w:eastAsia="Calibri" w:hAnsi="Calibri"/>
          <w:b/>
          <w:bCs/>
          <w:color w:val="000000"/>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00000"/>
          <w:sz w:val="32"/>
          <w:szCs w:val="32"/>
        </w:rPr>
        <w:t xml:space="preserve">7. Architecture technique</w:t>
      </w:r>
    </w:p>
    <w:p>
      <w:pPr>
        <w:pStyle w:val="Heading2"/>
        <w:spacing w:after="140" w:before="280"/>
      </w:pPr>
      <w:r>
        <w:rPr>
          <w:rFonts w:ascii="Calibri" w:cs="Calibri" w:eastAsia="Calibri" w:hAnsi="Calibri"/>
          <w:b/>
          <w:bCs/>
          <w:color w:val="000000"/>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Couche</w:t>
            </w:r>
          </w:p>
        </w:tc>
        <w:tc>
          <w:tcPr>
            <w:tcW w:type="dxa" w:w="3969"/>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Rôle</w:t>
            </w:r>
          </w:p>
        </w:tc>
        <w:tc>
          <w:tcPr>
            <w:tcW w:type="dxa" w:w="3428"/>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00000"/>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Famille</w:t>
            </w:r>
          </w:p>
        </w:tc>
        <w:tc>
          <w:tcPr>
            <w:tcW w:type="dxa" w:w="306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Entités</w:t>
            </w:r>
          </w:p>
        </w:tc>
        <w:tc>
          <w:tcPr>
            <w:tcW w:type="dxa" w:w="433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00000"/>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140" w:before="280"/>
      </w:pPr>
      <w:r>
        <w:rPr>
          <w:rFonts w:ascii="Calibri" w:cs="Calibri" w:eastAsia="Calibri" w:hAnsi="Calibri"/>
          <w:b/>
          <w:bCs/>
          <w:color w:val="000000"/>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00000"/>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00000"/>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Élément</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00000"/>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00000"/>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Règle</w:t>
            </w:r>
          </w:p>
        </w:tc>
        <w:tc>
          <w:tcPr>
            <w:tcW w:type="dxa" w:w="288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Valeur par défaut</w:t>
            </w:r>
          </w:p>
        </w:tc>
        <w:tc>
          <w:tcPr>
            <w:tcW w:type="dxa" w:w="216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4" name="Fig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5" name="Fig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00000"/>
          <w:sz w:val="32"/>
          <w:szCs w:val="32"/>
        </w:rPr>
        <w:t xml:space="preserve">9. Qualité, tests et traçabilité</w:t>
      </w:r>
    </w:p>
    <w:p>
      <w:pPr>
        <w:pStyle w:val="Heading2"/>
        <w:spacing w:after="140" w:before="280"/>
      </w:pPr>
      <w:r>
        <w:rPr>
          <w:rFonts w:ascii="Calibri" w:cs="Calibri" w:eastAsia="Calibri" w:hAnsi="Calibri"/>
          <w:b/>
          <w:bCs/>
          <w:color w:val="000000"/>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00000"/>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Contrainte</w:t>
            </w:r>
          </w:p>
        </w:tc>
        <w:tc>
          <w:tcPr>
            <w:tcW w:type="dxa" w:w="5953"/>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00000"/>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00000"/>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tenu à chaque étape consigne ce qui a été soumis, la remarque principale de l'IA, les points d'alerte, et notre verdict.</w:t>
      </w:r>
    </w:p>
    <w:p>
      <w:pPr>
        <w:pStyle w:val="Heading2"/>
        <w:spacing w:after="140" w:before="280"/>
      </w:pPr>
      <w:r>
        <w:rPr>
          <w:rFonts w:ascii="Calibri" w:cs="Calibri" w:eastAsia="Calibri" w:hAnsi="Calibri"/>
          <w:b/>
          <w:bCs/>
          <w:color w:val="000000"/>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00000"/>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00" w:before="360"/>
      </w:pPr>
      <w:r>
        <w:rPr>
          <w:rFonts w:ascii="Calibri" w:cs="Calibri" w:eastAsia="Calibri" w:hAnsi="Calibri"/>
          <w:b/>
          <w:bCs/>
          <w:color w:val="000000"/>
          <w:sz w:val="32"/>
          <w:szCs w:val="32"/>
        </w:rPr>
        <w:t xml:space="preserve">11. Déroulement du projet</w:t>
      </w:r>
    </w:p>
    <w:p>
      <w:pPr>
        <w:pStyle w:val="Heading2"/>
        <w:spacing w:after="140" w:before="280"/>
      </w:pPr>
      <w:r>
        <w:rPr>
          <w:rFonts w:ascii="Calibri" w:cs="Calibri" w:eastAsia="Calibri" w:hAnsi="Calibri"/>
          <w:b/>
          <w:bCs/>
          <w:color w:val="000000"/>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00000"/>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Étape</w:t>
            </w:r>
          </w:p>
        </w:tc>
        <w:tc>
          <w:tcPr>
            <w:tcW w:type="dxa" w:w="631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00000"/>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00000"/>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Séance</w:t>
            </w:r>
          </w:p>
        </w:tc>
        <w:tc>
          <w:tcPr>
            <w:tcW w:type="dxa" w:w="297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Notions du cours</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00000"/>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00000"/>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00000"/>
          <w:sz w:val="32"/>
          <w:szCs w:val="32"/>
        </w:rPr>
        <w:t xml:space="preserve">13. Limites et perspectives</w:t>
      </w:r>
    </w:p>
    <w:p>
      <w:pPr>
        <w:pStyle w:val="Heading2"/>
        <w:spacing w:after="140" w:before="280"/>
      </w:pPr>
      <w:r>
        <w:rPr>
          <w:rFonts w:ascii="Calibri" w:cs="Calibri" w:eastAsia="Calibri" w:hAnsi="Calibri"/>
          <w:b/>
          <w:bCs/>
          <w:color w:val="000000"/>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00000"/>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00000"/>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00000"/>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00000"/>
          <w:sz w:val="32"/>
          <w:szCs w:val="32"/>
        </w:rPr>
        <w:t xml:space="preserve">Annexe A — Extraits de code commentés</w:t>
      </w:r>
    </w:p>
    <w:p>
      <w:pPr>
        <w:pStyle w:val="Heading2"/>
        <w:spacing w:after="140" w:before="280"/>
      </w:pPr>
      <w:r>
        <w:rPr>
          <w:rFonts w:ascii="Calibri" w:cs="Calibri" w:eastAsia="Calibri" w:hAnsi="Calibri"/>
          <w:b/>
          <w:bCs/>
          <w:color w:val="000000"/>
          <w:sz w:val="26"/>
          <w:szCs w:val="26"/>
        </w:rPr>
        <w:t xml:space="preserve">A.1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00000"/>
          <w:sz w:val="26"/>
          <w:szCs w:val="26"/>
        </w:rPr>
        <w:t xml:space="preserve">A.2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00000"/>
          <w:sz w:val="26"/>
          <w:szCs w:val="26"/>
        </w:rPr>
        <w:t xml:space="preserve">A.3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00000"/>
          <w:sz w:val="26"/>
          <w:szCs w:val="26"/>
        </w:rPr>
        <w:t xml:space="preserve">A.4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00000"/>
          <w:sz w:val="32"/>
          <w:szCs w:val="32"/>
        </w:rPr>
        <w:t xml:space="preserve">Annexe B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Sujet</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Source</w:t>
            </w:r>
          </w:p>
        </w:tc>
        <w:tc>
          <w:tcPr>
            <w:tcW w:type="dxa" w:w="180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00000"/>
          <w:sz w:val="32"/>
          <w:szCs w:val="32"/>
        </w:rPr>
        <w:t xml:space="preserve">Annexe C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Terme</w:t>
            </w:r>
          </w:p>
        </w:tc>
        <w:tc>
          <w:tcPr>
            <w:tcW w:type="dxa" w:w="631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00000"/>
          <w:sz w:val="32"/>
          <w:szCs w:val="32"/>
        </w:rPr>
        <w:t xml:space="preserve">Annexe D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Rôle</w:t>
            </w:r>
          </w:p>
        </w:tc>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Identifiant</w:t>
            </w:r>
          </w:p>
        </w:tc>
        <w:tc>
          <w:tcPr>
            <w:tcW w:type="dxa" w:w="324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00000"/>
          <w:sz w:val="32"/>
          <w:szCs w:val="32"/>
        </w:rPr>
        <w:t xml:space="preserve">Annexe E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Question</w:t>
            </w:r>
          </w:p>
        </w:tc>
        <w:tc>
          <w:tcPr>
            <w:tcW w:type="dxa" w:w="5232"/>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000000"/>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3"/>
      <w:szCs w:val="23"/>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23d86f2cd06f7b96b35ce4363c281e7e09f055b.png"/><Relationship Id="rId12" Type="http://schemas.openxmlformats.org/officeDocument/2006/relationships/image" Target="media/8a6ab6d12fcc9ded4937805ffa99bdd5d280ecad.jpg"/><Relationship Id="rId13" Type="http://schemas.openxmlformats.org/officeDocument/2006/relationships/image" Target="media/6932905a1571b16ed3bbde03827e316060056b08.png"/><Relationship Id="rId14" Type="http://schemas.openxmlformats.org/officeDocument/2006/relationships/image" Target="media/0041e874faad9f131e75257b9e05dd7b08bf078d.png"/><Relationship Id="rId15" Type="http://schemas.openxmlformats.org/officeDocument/2006/relationships/image" Target="media/c5d67d2afd9238706646d220669e00a740907b4d.png"/><Relationship Id="rId16" Type="http://schemas.openxmlformats.org/officeDocument/2006/relationships/image" Target="media/10ee300625daf550dde7c9cc669c48f1d67f6bad.png"/><Relationship Id="rId17" Type="http://schemas.openxmlformats.org/officeDocument/2006/relationships/image" Target="media/13541299d05f3ef204c4885ce1bb2bc617efaa76.png"/><Relationship Id="rId18" Type="http://schemas.openxmlformats.org/officeDocument/2006/relationships/image" Target="media/930c9f246f5ff5b98fe27b576bb6a5ff0dc2960f.png"/><Relationship Id="rId19" Type="http://schemas.openxmlformats.org/officeDocument/2006/relationships/image" Target="media/4255ac79e164e17b083c7ffafcdb2f33bf601d81.png"/><Relationship Id="rId20" Type="http://schemas.openxmlformats.org/officeDocument/2006/relationships/image" Target="media/cbf2116d6fbdab8925455bfa90f510de2b9ce7f8.png"/><Relationship Id="rId21" Type="http://schemas.openxmlformats.org/officeDocument/2006/relationships/image" Target="media/099f6c6b56dc423853af18c2d9b270fe0b1a17bc.png"/><Relationship Id="rId22" Type="http://schemas.openxmlformats.org/officeDocument/2006/relationships/image" Target="media/6890ad47c4c2d5651ae91917458026a1e9775a7b.png"/><Relationship Id="rId23" Type="http://schemas.openxmlformats.org/officeDocument/2006/relationships/image" Target="media/468a493f4989a62681c5192f63a3bb665a963f19.png"/><Relationship Id="rId24" Type="http://schemas.openxmlformats.org/officeDocument/2006/relationships/image" Target="media/b3b82e7709610888315f96910399e93ca0ac61ee.png"/><Relationship Id="rId25" Type="http://schemas.openxmlformats.org/officeDocument/2006/relationships/image" Target="media/1607c4fc213cdb00ceabc2c68f957606b605911a.png"/><Relationship Id="rId26" Type="http://schemas.openxmlformats.org/officeDocument/2006/relationships/image" Target="media/40e01f74187df98d6440fe40eba7dabcc3256a5c.png"/><Relationship Id="rId27" Type="http://schemas.openxmlformats.org/officeDocument/2006/relationships/image" Target="media/8f584d7b26f4f4b688604285bbf26a2756504aab.png"/><Relationship Id="rId28" Type="http://schemas.openxmlformats.org/officeDocument/2006/relationships/image" Target="media/ef67f98b555072311f9abb6878d8b2d2a90900b4.png"/><Relationship Id="rId29" Type="http://schemas.openxmlformats.org/officeDocument/2006/relationships/image" Target="media/7e33869a80f3ad1f8b153f14c778a0bacb139c7f.png"/><Relationship Id="rId30" Type="http://schemas.openxmlformats.org/officeDocument/2006/relationships/image" Target="media/62c9a7328ee8be035ca0f0759e014d8c88ecd5a0.png"/><Relationship Id="rId31" Type="http://schemas.openxmlformats.org/officeDocument/2006/relationships/image" Target="media/c3551008d3295de5cf36deac16a29712b08ae09d.png"/><Relationship Id="rId32" Type="http://schemas.openxmlformats.org/officeDocument/2006/relationships/image" Target="media/aa38a45f650648e72f13182e276b8958f6107523.png"/><Relationship Id="rId33" Type="http://schemas.openxmlformats.org/officeDocument/2006/relationships/image" Target="media/3dd54e0b38f0b758d03b302d4f84c9a6570ef6f6.png"/><Relationship Id="rId34" Type="http://schemas.openxmlformats.org/officeDocument/2006/relationships/image" Target="media/232aa2025f6f3576d2486f3fff40a3f4f164e74a.png"/><Relationship Id="rId35" Type="http://schemas.openxmlformats.org/officeDocument/2006/relationships/image" Target="media/89efad494a19e87e2e94dabb2b0459db4950fd56.png"/><Relationship Id="rId36" Type="http://schemas.openxmlformats.org/officeDocument/2006/relationships/image" Target="media/a5fdef6f9fdaec76303e9feee6fddcb57ae14df1.png"/><Relationship Id="rId37" Type="http://schemas.openxmlformats.org/officeDocument/2006/relationships/image" Target="media/5536d83e3aa2a268e3620169cac0f56d8e1b4943.png"/><Relationship Id="rId38" Type="http://schemas.openxmlformats.org/officeDocument/2006/relationships/image" Target="media/86dd29c4629e62cff8bb18babe0716262600a2d5.png"/><Relationship Id="rId39" Type="http://schemas.openxmlformats.org/officeDocument/2006/relationships/image" Target="media/81c67fb7b5e7f2a57222d2d19b7efc9686b2441b.png"/><Relationship Id="rId40" Type="http://schemas.openxmlformats.org/officeDocument/2006/relationships/image" Target="media/462c39dccc95ab6d85f542e778df2cc3ca4edf93.png"/><Relationship Id="rId41" Type="http://schemas.openxmlformats.org/officeDocument/2006/relationships/image" Target="media/1f5da09c71fa027653b67505e273e94ce01653eb.png"/><Relationship Id="rId42" Type="http://schemas.openxmlformats.org/officeDocument/2006/relationships/image" Target="media/282d67aeafc460464e68901336bd44b244f90ddc.png"/><Relationship Id="rId43" Type="http://schemas.openxmlformats.org/officeDocument/2006/relationships/image" Target="media/c31bdc7ef5d80a3ec94c0cda77447f0426aba616.png"/><Relationship Id="rId44" Type="http://schemas.openxmlformats.org/officeDocument/2006/relationships/image" Target="media/18dee5a69c7dc686afc00d439329366653a487fd.png"/><Relationship Id="rId45" Type="http://schemas.openxmlformats.org/officeDocument/2006/relationships/image" Target="media/f5c991911e9f3c6ac0f0b62f979d2f4f601bc1a5.png"/><Relationship Id="rId46" Type="http://schemas.openxmlformats.org/officeDocument/2006/relationships/image" Target="media/e669896a4cbc863e01c0ab852cbebe45135ff8f5.png"/><Relationship Id="rId47" Type="http://schemas.openxmlformats.org/officeDocument/2006/relationships/image" Target="media/c7c0c75ac5e0b03eb1bc925bcb0bb9cd921524e7.png"/><Relationship Id="rId48" Type="http://schemas.openxmlformats.org/officeDocument/2006/relationships/image" Target="media/6493d9b6e3c327b40a09bf005091b751615ba6a3.png"/><Relationship Id="rId49" Type="http://schemas.openxmlformats.org/officeDocument/2006/relationships/image" Target="media/eb467205c9a249e3ad1f2f86f9c59615fce1c41a.png"/><Relationship Id="rId50" Type="http://schemas.openxmlformats.org/officeDocument/2006/relationships/image" Target="media/629b3085c5cb26954f988a5a22c892eeb90e8b3d.png"/><Relationship Id="rId51" Type="http://schemas.openxmlformats.org/officeDocument/2006/relationships/image" Target="media/e0346eb6b6bc5262541a7c46bd1a3334636cfe99.png"/><Relationship Id="rId52" Type="http://schemas.openxmlformats.org/officeDocument/2006/relationships/image" Target="media/a6885f70a0b94578df4b20e604253583d07aa6dd.png"/><Relationship Id="rId53" Type="http://schemas.openxmlformats.org/officeDocument/2006/relationships/image" Target="media/c983a64eeda7b403a089b8c800c5b6925b9f3dce.png"/><Relationship Id="rId54" Type="http://schemas.openxmlformats.org/officeDocument/2006/relationships/image" Target="media/4acc21c4d67dd1c8b7b2c12d40fa804badb2b38b.png"/><Relationship Id="rId55" Type="http://schemas.openxmlformats.org/officeDocument/2006/relationships/image" Target="media/341b4bc7cdbbf5e69add9e0269e816844aa25b3f.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Fitiavana ETU001965, ONINIAINA Mahery Harentsoa Arthur ETU002446</dc:creator>
  <dc:description>Digitalisation des examens du permis de conduire — application Android</dc:description>
  <cp:lastModifiedBy>Un-named</cp:lastModifiedBy>
  <cp:revision>1</cp:revision>
  <dcterms:created xsi:type="dcterms:W3CDTF">2026-09-18T15:04:46.967Z</dcterms:created>
  <dcterms:modified xsi:type="dcterms:W3CDTF">2026-09-18T15:04:46.969Z</dcterms:modified>
</cp:coreProperties>
</file>

<file path=docProps/custom.xml><?xml version="1.0" encoding="utf-8"?>
<Properties xmlns="http://schemas.openxmlformats.org/officeDocument/2006/custom-properties" xmlns:vt="http://schemas.openxmlformats.org/officeDocument/2006/docPropsVTypes"/>
</file>