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2025-2026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60" w:line="300"/>
      </w:pPr>
      <w:r>
        <w:rPr>
          <w:rFonts w:ascii="Calibri" w:cs="Calibri" w:eastAsia="Calibri" w:hAnsi="Calibri"/>
          <w:sz w:val="22"/>
          <w:szCs w:val="22"/>
        </w:rPr>
        <w:t xml:space="preserve">les limites et perspectives, la conclusion, et les annexes : captures, extraits de code, sources, glossaire, comptes de démonstration, questions à valider, extraits du journal IA.</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C).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60" w:line="30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60" w:line="30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60" w:line="30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E.</w:t>
      </w:r>
    </w:p>
    <w:p>
      <w:pPr>
        <w:spacing w:after="120" w:line="30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jc w:val="center"/>
      </w:pPr>
      <w:r>
        <w:drawing>
          <wp:inline distT="0" distB="0" distL="0" distR="0">
            <wp:extent cx="1981200" cy="3524250"/>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Connexion refusée : le message reste volontairement vague sur la cause</w:t>
      </w:r>
    </w:p>
    <w:p>
      <w:pPr>
        <w:spacing w:after="120" w:line="30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Accueil du super administrateur : configuration et comptes</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Accueil de l'examinateur : sessions du jour, évaluations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Accueil du candidat : son parcours</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Les catégories de permis, point d'entrée de la configuration</w:t>
      </w:r>
    </w:p>
    <w:p>
      <w:pPr>
        <w:jc w:val="center"/>
      </w:pPr>
      <w:r>
        <w:drawing>
          <wp:inline distT="0" distB="0" distL="0" distR="0">
            <wp:extent cx="1981200" cy="3524250"/>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Les comptes, vus par le super administrateur</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Dossier constitué par l'auto-école, prêt à être soumis</w:t>
      </w:r>
    </w:p>
    <w:p>
      <w:pPr>
        <w:jc w:val="center"/>
      </w:pPr>
      <w:r>
        <w:drawing>
          <wp:inline distT="0" distB="0" distL="0" distR="0">
            <wp:extent cx="1981200" cy="3524250"/>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 Mes candidats » : l'auto-école ne voit que les siens</w:t>
      </w:r>
    </w:p>
    <w:p>
      <w:pPr>
        <w:spacing w:after="120" w:line="30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Pièce du dossier avec un fichier joint : ouvrir, remplacer, retirer</w:t>
      </w:r>
    </w:p>
    <w:p>
      <w:pPr>
        <w:jc w:val="center"/>
      </w:pPr>
      <w:r>
        <w:drawing>
          <wp:inline distT="0" distB="0" distL="0" distR="0">
            <wp:extent cx="2524125" cy="4486275"/>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La pièce jointe ouverte par l'ATT ou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Décision de l'ATT : valider, incomplet ou refuser avec motif</w:t>
      </w:r>
    </w:p>
    <w:p>
      <w:pPr>
        <w:jc w:val="center"/>
      </w:pPr>
      <w:r>
        <w:drawing>
          <wp:inline distT="0" distB="0" distL="0" distR="0">
            <wp:extent cx="1981200" cy="3524250"/>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 Dossiers à traiter » : la file des dossiers soumis, vue par l'ATT</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Création d'une session : les créneaux se calculent à la saisie</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22 — Fiche d'une session : créneaux et remplissage, statut, actions et documents</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23 — Inscriptions d'une session : numéro d'appel, créneau, actions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24 — La convocation imprimable : centre, date, heure de passage estimée, pièces à apporter</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25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26 — Vue de l'examinateur : numéros d'appel, sans les noms</w:t>
      </w:r>
    </w:p>
    <w:p>
      <w:pPr>
        <w:jc w:val="center"/>
      </w:pPr>
      <w:r>
        <w:drawing>
          <wp:inline distT="0" distB="0" distL="0" distR="0">
            <wp:extent cx="1981200" cy="3524250"/>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27 — « Sessions du jour » de l'examinateur, avec présents et passages ouverts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28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29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30 — Détail d'un résultat avant validation par l'ATT</w:t>
      </w:r>
    </w:p>
    <w:p>
      <w:pPr>
        <w:jc w:val="center"/>
      </w:pPr>
      <w:r>
        <w:drawing>
          <wp:inline distT="0" distB="0" distL="0" distR="0">
            <wp:extent cx="1981200" cy="3524250"/>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32 — Résultat corrigé : une nouvelle ligne avec son motif, l'ancienne reste consultable</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33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34 — Parcours du candidat, vu avec son compte</w:t>
      </w:r>
    </w:p>
    <w:p>
      <w:pPr>
        <w:jc w:val="center"/>
      </w:pPr>
      <w:r>
        <w:drawing>
          <wp:inline distT="0" distB="0" distL="0" distR="0">
            <wp:extent cx="1981200" cy="3524250"/>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36 — Résultats vus par l'auto-école : seulement les résultats validés</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37 — Relevé de résultat, prêt à imprimer</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38 — Liste d'appel imprimable d'une session, avec cases à cocher</w:t>
      </w:r>
    </w:p>
    <w:p>
      <w:pPr>
        <w:jc w:val="center"/>
      </w:pPr>
      <w:r>
        <w:drawing>
          <wp:inline distT="0" distB="0" distL="0" distR="0">
            <wp:extent cx="1981200" cy="3524250"/>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39 — Liste des admis d'une session : seulement les résultats validés</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40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41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24 entités Room, reliées par des clés étrangères, en six familles. Le schéma complet, avec chaque attribut et chaque statut, est décrit dans le document de conception du modèle de données ; Room en exporte une copie JSON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20" w:line="300"/>
      </w:pPr>
      <w:r>
        <w:rPr>
          <w:rFonts w:ascii="Calibri" w:cs="Calibri" w:eastAsia="Calibri" w:hAnsi="Calibri"/>
          <w:sz w:val="22"/>
          <w:szCs w:val="22"/>
        </w:rPr>
        <w:t xml:space="preserve">L'annexe B montre les quatre briques de ce flux : l'écriture et sa ligne d'historique dans une même transaction (B.1), une règle pure et son test (B.2), un ViewModel qui combine les flux de Room en un seul état (B.3) et le tirage du sujet avec le hasard injecté (B.4).</w:t>
      </w:r>
    </w:p>
    <w:p>
      <w:pPr>
        <w:pStyle w:val="Heading2"/>
        <w:spacing w:after="140" w:before="280"/>
      </w:pPr>
      <w:r>
        <w:rPr>
          <w:rFonts w:ascii="Calibri" w:cs="Calibri" w:eastAsia="Calibri" w:hAnsi="Calibri"/>
          <w:b/>
          <w:bCs/>
          <w:color w:val="0B2E4F"/>
          <w:sz w:val="26"/>
          <w:szCs w:val="26"/>
        </w:rPr>
        <w:t xml:space="preserve">7.4 Sécurité</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60" w:line="30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60" w:line="30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60" w:line="30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JUnit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4.13.2</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8.0 (niveau d'API 26)</w:t>
            </w:r>
          </w:p>
        </w:tc>
      </w:tr>
    </w:tbl>
    <w:p>
      <w:pPr>
        <w:spacing w:after="160"/>
      </w:pPr>
    </w:p>
    <w:p>
      <w:pPr>
        <w:spacing w:after="120" w:line="30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140" w:before="280"/>
      </w:pPr>
      <w:r>
        <w:rPr>
          <w:rFonts w:ascii="Calibri" w:cs="Calibri" w:eastAsia="Calibri" w:hAnsi="Calibri"/>
          <w:b/>
          <w:bCs/>
          <w:color w:val="0B2E4F"/>
          <w:sz w:val="26"/>
          <w:szCs w:val="26"/>
        </w:rPr>
        <w:t xml:space="preserve">7.7 Erreurs et cas dégradés</w:t>
      </w:r>
    </w:p>
    <w:p>
      <w:pPr>
        <w:spacing w:after="120" w:line="30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20" w:line="30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20" w:line="30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Durée de l'épreuve théorique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Examen dans la région de l'auto-école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non exigé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L'auto-école peut demander une inscription</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jc w:val="center"/>
      </w:pPr>
      <w:r>
        <w:drawing>
          <wp:inline distT="0" distB="0" distL="0" distR="0">
            <wp:extent cx="1981200" cy="3524250"/>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43 — Modification d'une règle : la valeur, sa description et la case « à confirmer »</w:t>
      </w: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spacing w:after="120" w:line="30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20" w:line="30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20" w:line="30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20" w:line="30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00" w:before="360"/>
      </w:pPr>
      <w:r>
        <w:rPr>
          <w:rFonts w:ascii="Calibri" w:cs="Calibri" w:eastAsia="Calibri" w:hAnsi="Calibri"/>
          <w:b/>
          <w:bCs/>
          <w:color w:val="0F4C81"/>
          <w:sz w:val="32"/>
          <w:szCs w:val="32"/>
        </w:rPr>
        <w:t xml:space="preserve">10. Usage de l'IA et jugement porté</w:t>
      </w:r>
    </w:p>
    <w:p>
      <w:pPr>
        <w:spacing w:after="120" w:line="30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20" w:line="30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20" w:line="30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Le journal IA (annexe G) consigne pour chaque étape ce qui a été soumis, la remarque principale de l'IA, les points d'alerte, et notre verdict.</w:t>
      </w:r>
    </w:p>
    <w:p>
      <w:pPr>
        <w:pStyle w:val="Heading2"/>
        <w:spacing w:after="140" w:before="280"/>
      </w:pPr>
      <w:r>
        <w:rPr>
          <w:rFonts w:ascii="Calibri" w:cs="Calibri" w:eastAsia="Calibri" w:hAnsi="Calibri"/>
          <w:b/>
          <w:bCs/>
          <w:color w:val="0B2E4F"/>
          <w:sz w:val="26"/>
          <w:szCs w:val="26"/>
        </w:rPr>
        <w:t xml:space="preserve">10.1 Ce que nous avons refusé ou corrigé</w:t>
      </w:r>
    </w:p>
    <w:p>
      <w:pPr>
        <w:pStyle w:val="ListParagraph"/>
        <w:numPr>
          <w:ilvl w:val="0"/>
          <w:numId w:val="2"/>
        </w:numPr>
        <w:spacing w:after="60" w:line="30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60" w:line="30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60" w:line="30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60" w:line="30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60" w:line="30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140" w:before="280"/>
      </w:pPr>
      <w:r>
        <w:rPr>
          <w:rFonts w:ascii="Calibri" w:cs="Calibri" w:eastAsia="Calibri" w:hAnsi="Calibri"/>
          <w:b/>
          <w:bCs/>
          <w:color w:val="0B2E4F"/>
          <w:sz w:val="26"/>
          <w:szCs w:val="26"/>
        </w:rPr>
        <w:t xml:space="preserve">10.2 Ce que l'IA fait bien, ce qu'elle fait mal</w:t>
      </w:r>
    </w:p>
    <w:p>
      <w:pPr>
        <w:spacing w:after="120" w:line="30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20" w:line="30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fichier ; trois entrées du journal sont recopiées en annexe G pour en témoigner.</w:t>
      </w:r>
    </w:p>
    <w:p>
      <w:pPr>
        <w:pStyle w:val="Heading1"/>
        <w:pageBreakBefore/>
        <w:spacing w:after="200" w:before="360"/>
      </w:pPr>
      <w:r>
        <w:rPr>
          <w:rFonts w:ascii="Calibri" w:cs="Calibri" w:eastAsia="Calibri" w:hAnsi="Calibri"/>
          <w:b/>
          <w:bCs/>
          <w:color w:val="0F4C81"/>
          <w:sz w:val="32"/>
          <w:szCs w:val="32"/>
        </w:rPr>
        <w:t xml:space="preserve">11. Déroulement du projet</w:t>
      </w:r>
    </w:p>
    <w:p>
      <w:pPr>
        <w:pStyle w:val="Heading2"/>
        <w:spacing w:after="140" w:before="280"/>
      </w:pPr>
      <w:r>
        <w:rPr>
          <w:rFonts w:ascii="Calibri" w:cs="Calibri" w:eastAsia="Calibri" w:hAnsi="Calibri"/>
          <w:b/>
          <w:bCs/>
          <w:color w:val="0B2E4F"/>
          <w:sz w:val="26"/>
          <w:szCs w:val="26"/>
        </w:rPr>
        <w:t xml:space="preserve">11.1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140" w:before="280"/>
      </w:pPr>
      <w:r>
        <w:rPr>
          <w:rFonts w:ascii="Calibri" w:cs="Calibri" w:eastAsia="Calibri" w:hAnsi="Calibri"/>
          <w:b/>
          <w:bCs/>
          <w:color w:val="0B2E4F"/>
          <w:sz w:val="26"/>
          <w:szCs w:val="26"/>
        </w:rPr>
        <w:t xml:space="preserve">11.2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Refonte de l'interface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jointes numériques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Rejeu de A à Z et rapport</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160"/>
      </w:pPr>
    </w:p>
    <w:p>
      <w:pPr>
        <w:pStyle w:val="Heading2"/>
        <w:spacing w:after="140" w:before="280"/>
      </w:pPr>
      <w:r>
        <w:rPr>
          <w:rFonts w:ascii="Calibri" w:cs="Calibri" w:eastAsia="Calibri" w:hAnsi="Calibri"/>
          <w:b/>
          <w:bCs/>
          <w:color w:val="0B2E4F"/>
          <w:sz w:val="26"/>
          <w:szCs w:val="26"/>
        </w:rPr>
        <w:t xml:space="preserve">11.3 Durée réelle et bilan</w:t>
      </w:r>
    </w:p>
    <w:p>
      <w:pPr>
        <w:spacing w:after="120" w:line="300"/>
      </w:pPr>
      <w:r>
        <w:rPr>
          <w:rFonts w:ascii="Calibri" w:cs="Calibri" w:eastAsia="Calibri" w:hAnsi="Calibri"/>
          <w:sz w:val="22"/>
          <w:szCs w:val="22"/>
        </w:rPr>
        <w:t xml:space="preserve">Le plan prévoyait dix semaines ; le développement s'est fait en peu de jours, à deux, précédé de la recherche documentaire de l'annexe C.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12.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12.1 Une preuve par séance</w:t>
      </w:r>
    </w:p>
    <w:p>
      <w:pPr>
        <w:pStyle w:val="ListParagraph"/>
        <w:numPr>
          <w:ilvl w:val="0"/>
          <w:numId w:val="2"/>
        </w:numPr>
        <w:spacing w:after="60" w:line="30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60" w:line="30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60" w:line="30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60" w:line="30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60" w:line="30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60" w:line="30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60" w:line="30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demosync, avec les deux différences expliquées en 7.5.</w:t>
      </w:r>
    </w:p>
    <w:p>
      <w:pPr>
        <w:pStyle w:val="ListParagraph"/>
        <w:numPr>
          <w:ilvl w:val="0"/>
          <w:numId w:val="2"/>
        </w:numPr>
        <w:spacing w:after="60" w:line="30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140" w:before="280"/>
      </w:pPr>
      <w:r>
        <w:rPr>
          <w:rFonts w:ascii="Calibri" w:cs="Calibri" w:eastAsia="Calibri" w:hAnsi="Calibri"/>
          <w:b/>
          <w:bCs/>
          <w:color w:val="0B2E4F"/>
          <w:sz w:val="26"/>
          <w:szCs w:val="26"/>
        </w:rPr>
        <w:t xml:space="preserve">12.2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tenu dans un document du projet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13. Limites et perspectives</w:t>
      </w:r>
    </w:p>
    <w:p>
      <w:pPr>
        <w:pStyle w:val="Heading2"/>
        <w:spacing w:after="140" w:before="280"/>
      </w:pPr>
      <w:r>
        <w:rPr>
          <w:rFonts w:ascii="Calibri" w:cs="Calibri" w:eastAsia="Calibri" w:hAnsi="Calibri"/>
          <w:b/>
          <w:bCs/>
          <w:color w:val="0B2E4F"/>
          <w:sz w:val="26"/>
          <w:szCs w:val="26"/>
        </w:rPr>
        <w:t xml:space="preserve">13.1 Ce que l'application ne fait pas encore, et pourquoi c'est bloquant pour un centre</w:t>
      </w:r>
    </w:p>
    <w:p>
      <w:pPr>
        <w:spacing w:after="120" w:line="30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60" w:line="30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60" w:line="30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60" w:line="30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60" w:line="30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60" w:line="30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60" w:line="30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140" w:before="280"/>
      </w:pPr>
      <w:r>
        <w:rPr>
          <w:rFonts w:ascii="Calibri" w:cs="Calibri" w:eastAsia="Calibri" w:hAnsi="Calibri"/>
          <w:b/>
          <w:bCs/>
          <w:color w:val="0B2E4F"/>
          <w:sz w:val="26"/>
          <w:szCs w:val="26"/>
        </w:rPr>
        <w:t xml:space="preserve">13.2 Ce qui reste à confirmer ou à construire pour coller au terrain</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 (annexe F).</w:t>
      </w:r>
    </w:p>
    <w:p>
      <w:pPr>
        <w:pStyle w:val="ListParagraph"/>
        <w:numPr>
          <w:ilvl w:val="0"/>
          <w:numId w:val="2"/>
        </w:numPr>
        <w:spacing w:after="60" w:line="30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60" w:line="30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60" w:line="30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60" w:line="30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60" w:line="30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60" w:line="30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140" w:before="280"/>
      </w:pPr>
      <w:r>
        <w:rPr>
          <w:rFonts w:ascii="Calibri" w:cs="Calibri" w:eastAsia="Calibri" w:hAnsi="Calibri"/>
          <w:b/>
          <w:bCs/>
          <w:color w:val="0B2E4F"/>
          <w:sz w:val="26"/>
          <w:szCs w:val="26"/>
        </w:rPr>
        <w:t xml:space="preserve">13.3 Perspectives</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14.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Captures d'écran</w:t>
      </w:r>
    </w:p>
    <w:p>
      <w:pPr>
        <w:spacing w:after="120" w:line="300"/>
      </w:pPr>
      <w:r>
        <w:rPr>
          <w:rFonts w:ascii="Calibri" w:cs="Calibri" w:eastAsia="Calibri" w:hAnsi="Calibri"/>
          <w:sz w:val="22"/>
          <w:szCs w:val="22"/>
        </w:rPr>
        <w:t xml:space="preserve">Les captures du chapitre 6 ont été prises sur l'émulateur Android d'un petit téléphone (720 × 1280), avec les comptes de démonstration, en rejouant le parcours complet depuis une base vide. Elles sont récapitulées ici dans l'ordre du document ; les fichiers se trouvent dans le dossier docs/rapport/captures du dépôt.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82"/>
        <w:gridCol w:w="4510"/>
        <w:gridCol w:w="3428"/>
      </w:tblGrid>
      <w:tr>
        <w:trPr>
          <w:tblHeader/>
        </w:trPr>
        <w:tc>
          <w:tcPr>
            <w:tcW w:type="dxa" w:w="108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Figure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Écran</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Fichier</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l'administrateur ATT : le menu du rôle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05_accueil_admin.png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Écran de connexion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06_01_connexion.png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Connexion refusée : le message reste volontairement vague sur la cause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06_01b_connexion_erreur.png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Accueil du super administrateur : configuration et comptes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05_accueil_superadmin.png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l'auto-école : ses candidats, ses inscriptions, ses résultats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05_accueil_auto_ecole.png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Accueil de l'examinateur : sessions du jour, évaluations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05_accueil_examinateur.png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du candidat : son parcours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05_accueil_candidat.png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Épreuve théorique de la catégorie B : barème versionné et questions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06_02_configuration.png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Les catégories de permis, point d'entrée de la configuration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06_02b_categories.png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comptes, vus par le super administrateur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05_comptes.png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centres, rattachés à leur région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06_03_centre.png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 d'une auto-école et ses comptes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06_04_auto_ecole.png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Création d'un examinateur avec son compte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06_05_examinateur.png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par l'auto-école, prêt à être soumis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06_06_dossier.png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Mes candidats » : l'auto-école ne voit que les siens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06_06a_mes_candidats.png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Pièce du dossier avec un fichier joint : ouvrir, remplacer, retirer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06_06b_piece_jointe.png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La pièce jointe ouverte par l'ATT ou l'auto-école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06_06c_piece_ouverte.png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Décision de l'ATT : valider, incomplet ou refuser avec motif</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06_07_decision.png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Dossiers à traiter » : la file des dossiers soumis, vue par l'ATT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06_07a_dossiers_a_traiter.png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d'une session : les créneaux se calculent à la saisie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06_08_session.png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sessions avec ses filtres : à venir, du jour, passées, toutes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06_08a_liste_sessions.png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 d'une session : créneaux et remplissage, statut, actions et documents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06_08b_detail_session.png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Inscriptions d'une session : numéro d'appel, créneau, actions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06_09_inscription.png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convocation imprimable : centre, date, heure de passage estimée, pièces à apporter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06_09c_convocation.png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Appel d'une session : présents, retards, absents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06_10_appel.png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 de l'examinateur : numéros d'appel, sans les noms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06_11_passages.png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Sessions du jour » de l'examinateur, avec présents et passages ouverts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06_11a_sessions_du_jour.png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théorique : questions posées, réponses, points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06_12_theorie.png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Grille de conduite : points par critère, faute éliminatoire, observations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06_13_conduite.png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Détail d'un résultat avant validation par l'ATT</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06_14_resultat.png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Résultats à valider » : la file de l'ATT, avec l'état d'envoi au serveur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06_14b_resultats.png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Résultat corrigé : une nouvelle ligne avec son motif, l'ancienne reste consultable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06_14c_resultat_corrige.png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Résultat en échec : épreuves à repasser et date de réinscription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06_15_repassage.png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Parcours du candidat, vu avec son compte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06_16_parcours.png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Mes inscriptions » de l'auto-école : convocations et présence de ses candidats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06_16b_mes_inscriptions.png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Résultats vus par l'auto-école : seulement les résultats validés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06_16c_resultats_auto_ecole.png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prêt à imprimer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06_17_releve.png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d'appel imprimable d'une session, avec cases à cocher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06_17b_liste_appel.png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admis d'une session : seulement les résultats validés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06_17c_liste_admis.png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Journal des modifications, filtrable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06_18_historique.png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41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 réseau coupé, un résultat en attente, un envoyé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06_19_synchronisation.png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Configuration → Règles : chaque règle est une ligne modifiable, avec son drapeau</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08_regles.png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43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Modification d'une règle : la valeur, sa description et la case « à confirmer »</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08_regle_delai.png</w:t>
            </w:r>
          </w:p>
        </w:tc>
      </w:tr>
    </w:tbl>
    <w:p>
      <w:pPr>
        <w:pStyle w:val="Heading1"/>
        <w:pageBreakBefore/>
        <w:spacing w:after="200" w:before="360"/>
      </w:pPr>
      <w:r>
        <w:rPr>
          <w:rFonts w:ascii="Calibri" w:cs="Calibri" w:eastAsia="Calibri" w:hAnsi="Calibri"/>
          <w:b/>
          <w:bCs/>
          <w:color w:val="0F4C81"/>
          <w:sz w:val="32"/>
          <w:szCs w:val="32"/>
        </w:rPr>
        <w:t xml:space="preserve">Annexe B — Extraits de code commentés</w:t>
      </w:r>
    </w:p>
    <w:p>
      <w:pPr>
        <w:pStyle w:val="Heading2"/>
        <w:spacing w:after="140" w:before="280"/>
      </w:pPr>
      <w:r>
        <w:rPr>
          <w:rFonts w:ascii="Calibri" w:cs="Calibri" w:eastAsia="Calibri" w:hAnsi="Calibri"/>
          <w:b/>
          <w:bCs/>
          <w:color w:val="0B2E4F"/>
          <w:sz w:val="26"/>
          <w:szCs w:val="26"/>
        </w:rPr>
        <w:t xml:space="preserve">B.1 Écriture et historique dans une même transaction</w:t>
      </w:r>
    </w:p>
    <w:p>
      <w:pPr>
        <w:spacing w:after="120" w:line="300"/>
      </w:pPr>
      <w:r>
        <w:rPr>
          <w:rFonts w:ascii="Calibri" w:cs="Calibri" w:eastAsia="Calibri" w:hAnsi="Calibri"/>
          <w:sz w:val="22"/>
          <w:szCs w:val="22"/>
        </w:rPr>
        <w:t xml:space="preserve">Extrait simplifié de AppelViewModel (la version réelle vérifie d'abord le statut de la session et de la présence).</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B.2 Une règle pure et son test</w:t>
      </w:r>
    </w:p>
    <w:p>
      <w:pPr>
        <w:shd w:fill="F3F6FA" w:color="auto" w:val="clear"/>
        <w:spacing w:after="0" w:line="260"/>
        <w:ind w:left="200" w:right="200"/>
      </w:pPr>
      <w:r>
        <w:rPr>
          <w:rFonts w:ascii="Consolas" w:cs="Consolas" w:eastAsia="Consolas" w:hAnsi="Consolas"/>
          <w:sz w:val="18"/>
          <w:szCs w:val="18"/>
        </w:rPr>
        <w:t xml:space="preserve">// Règle d'ouverture d'une tentative (couche métier)</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Son test unitaire</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B.3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B.4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C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 / 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(2020–2026)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pStyle w:val="Heading1"/>
        <w:pageBreakBefore/>
        <w:spacing w:after="200" w:before="360"/>
      </w:pPr>
      <w:r>
        <w:rPr>
          <w:rFonts w:ascii="Calibri" w:cs="Calibri" w:eastAsia="Calibri" w:hAnsi="Calibri"/>
          <w:b/>
          <w:bCs/>
          <w:color w:val="0F4C81"/>
          <w:sz w:val="32"/>
          <w:szCs w:val="32"/>
        </w:rPr>
        <w:t xml:space="preserve">Annexe D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Numéro d'appel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Créneau</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 de connexion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Règle configurable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Faute éliminatoire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Transaction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ATT, CIM, CIN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Torolalana</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MVP</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Pull request</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ViewModel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StateFlow, combine, stateIn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DAO</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NavHost, route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PBKDF2, sel, empreinte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Graine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Comptes de démonstration</w:t>
      </w:r>
    </w:p>
    <w:p>
      <w:pPr>
        <w:spacing w:after="120" w:line="30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2706"/>
        <w:gridCol w:w="3247"/>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c>
          <w:tcPr>
            <w:tcW w:type="dxa" w:w="324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Mot de passe initial</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ChangezMoi2026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autoecole2026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candidat2026</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maximale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Q13 — Document final et signature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G — Trois entrées du journal IA, telles quelles</w:t>
      </w:r>
    </w:p>
    <w:p>
      <w:pPr>
        <w:spacing w:after="120" w:line="300"/>
      </w:pPr>
      <w:r>
        <w:rPr>
          <w:rFonts w:ascii="Calibri" w:cs="Calibri" w:eastAsia="Calibri" w:hAnsi="Calibri"/>
          <w:sz w:val="22"/>
          <w:szCs w:val="22"/>
        </w:rPr>
        <w:t xml:space="preserve">Le journal IA compte une entrée par étape. Les trois entrées ci-dessous sont recopiées telles quelles, sans la ligne qui liste les fichiers concernés : la contradiction entre un index SQL et une règle métier (chapitre 10), le passage du QCM à l'épreuve orale sur un témoignage de terrain (chapitres 2 et 10), et la reprise de la démonstration du cours pour la synchronisation (chapitres 7.5 et 12).</w:t>
      </w:r>
    </w:p>
    <w:p>
      <w:pPr>
        <w:pStyle w:val="Heading3"/>
        <w:spacing w:after="100" w:before="200"/>
      </w:pPr>
      <w:r>
        <w:rPr>
          <w:rFonts w:ascii="Calibri" w:cs="Calibri" w:eastAsia="Calibri" w:hAnsi="Calibri"/>
          <w:b/>
          <w:bCs/>
          <w:color w:val="0B2E4F"/>
          <w:sz w:val="23"/>
          <w:szCs w:val="23"/>
        </w:rPr>
        <w:t xml:space="preserve">Entrée 10 — 16/09/2026 — Étape C7, présence et appel</w:t>
      </w:r>
    </w:p>
    <w:p>
      <w:pPr>
        <w:spacing w:after="120" w:line="300"/>
      </w:pPr>
      <w:r>
        <w:rPr>
          <w:rFonts w:ascii="Calibri" w:cs="Calibri" w:eastAsia="Calibri" w:hAnsi="Calibri"/>
          <w:sz w:val="20"/>
          <w:szCs w:val="20"/>
        </w:rPr>
        <w:t xml:space="preserve">- Remarque principale de l'IA : la vérification sur émulateur a révélé un vrai défaut de conception, pas un bug de frappe : l'index unique (candidat, session) en base contredisait la règle métier « une inscription reportée ou annulée peut être suivie d'une nouvelle ». Le test unitaire de la règle passait ; seule la base réelle a montré la contradiction. Leçon pour le binôme : les invariants qui dépendent d'un statut ne se mettent pas dans un index SQL, mais dans une fonction pure.</w:t>
      </w:r>
    </w:p>
    <w:p>
      <w:pPr>
        <w:spacing w:after="120" w:line="300"/>
      </w:pPr>
      <w:r>
        <w:rPr>
          <w:rFonts w:ascii="Calibri" w:cs="Calibri" w:eastAsia="Calibri" w:hAnsi="Calibri"/>
          <w:sz w:val="20"/>
          <w:szCs w:val="20"/>
        </w:rPr>
        <w:t xml:space="preserve">⚠️ La correction change le schéma (v2) avec fallbackToDestructiveMigration : les données de test de l'émulateur sont perdues, ce qui est accepté en développement (docs/01 §7) ; le pilote a rejoué toute la chaîne depuis une base vide en une passe.</w:t>
      </w:r>
    </w:p>
    <w:p>
      <w:pPr>
        <w:spacing w:after="120" w:line="300"/>
      </w:pPr>
      <w:r>
        <w:rPr>
          <w:rFonts w:ascii="Calibri" w:cs="Calibri" w:eastAsia="Calibri" w:hAnsi="Calibri"/>
          <w:sz w:val="20"/>
          <w:szCs w:val="20"/>
        </w:rPr>
        <w:t xml:space="preserve">⚠️ L'horloge de l'émulateur (19 h) fait classer tout « Présent » en retard pour une convocation à 08:00 : ce n'est pas une anomalie, c'est la règle. Le scénario a donc exercé le chemin « retard accepté » plutôt que « présent direct ».</w:t>
      </w:r>
    </w:p>
    <w:p>
      <w:pPr>
        <w:spacing w:after="120" w:line="300"/>
      </w:pPr>
      <w:r>
        <w:rPr>
          <w:rFonts w:ascii="Calibri" w:cs="Calibri" w:eastAsia="Calibri" w:hAnsi="Calibri"/>
          <w:sz w:val="20"/>
          <w:szCs w:val="20"/>
        </w:rPr>
        <w:t xml:space="preserve">⚠️ Deux perturbations sans lien avec le code : des projets du cours lancés sur le même émulateur passaient devant ATT ; puis l'émulateur a été fermé et relancé par l'IA. Le pilote vérifie désormais qu'ATT est au premier plan avant chaque action.</w:t>
      </w:r>
    </w:p>
    <w:p>
      <w:pPr>
        <w:pStyle w:val="Heading3"/>
        <w:spacing w:after="100" w:before="200"/>
      </w:pPr>
      <w:r>
        <w:rPr>
          <w:rFonts w:ascii="Calibri" w:cs="Calibri" w:eastAsia="Calibri" w:hAnsi="Calibri"/>
          <w:b/>
          <w:bCs/>
          <w:color w:val="0B2E4F"/>
          <w:sz w:val="23"/>
          <w:szCs w:val="23"/>
        </w:rPr>
        <w:t xml:space="preserve">Entrée 12 — 17/09/2026 — Étape C9, évaluation théorique</w:t>
      </w:r>
    </w:p>
    <w:p>
      <w:pPr>
        <w:spacing w:after="120" w:line="300"/>
      </w:pPr>
      <w:r>
        <w:rPr>
          <w:rFonts w:ascii="Calibri" w:cs="Calibri" w:eastAsia="Calibri" w:hAnsi="Calibri"/>
          <w:sz w:val="20"/>
          <w:szCs w:val="20"/>
        </w:rPr>
        <w:t xml:space="preserve">- Remarque principale de l'IA : la première version était un QCM (réponses A/B/C/D) parce que la presse et le cadrage le disaient ; le dev 1, qui vient de passer l'épreuve, a décrit une épreuve orale avec une feuille « question posée / réponse donnée / points / total ». L'IA avait respecté la règle « ne pas inventer » en suivant les sources écrites, mais une source de terrain vaut plus qu'un article : la question Q1 est réécrite, la table QCM supprimée, l'écran devient la feuille d'examen.</w:t>
      </w:r>
    </w:p>
    <w:p>
      <w:pPr>
        <w:spacing w:after="120" w:line="300"/>
      </w:pPr>
      <w:r>
        <w:rPr>
          <w:rFonts w:ascii="Calibri" w:cs="Calibri" w:eastAsia="Calibri" w:hAnsi="Calibri"/>
          <w:sz w:val="20"/>
          <w:szCs w:val="20"/>
        </w:rPr>
        <w:t xml:space="preserve">⚠️ Le tirage au sort reste une fonction pure qui reçoit son générateur de hasard (Random(graine)) : avec une graine fixe le sujet est reproductible, le test vérifie qu'il atteint la note max sans la dépasser ni répéter, avec des questions à points variables.</w:t>
      </w:r>
    </w:p>
    <w:p>
      <w:pPr>
        <w:spacing w:after="120" w:line="300"/>
      </w:pPr>
      <w:r>
        <w:rPr>
          <w:rFonts w:ascii="Calibri" w:cs="Calibri" w:eastAsia="Calibri" w:hAnsi="Calibri"/>
          <w:sz w:val="20"/>
          <w:szCs w:val="20"/>
        </w:rPr>
        <w:t xml:space="preserve">⚠️ Le sujet est créé en base dès l'ouverture de l'écran (gardé par « une seule fois par identifiant ») pour être figé avant la première réponse. Un écran qui écrit à l'ouverture est inhabituel dans le cours : à discuter en binôme.</w:t>
      </w:r>
    </w:p>
    <w:p>
      <w:pPr>
        <w:spacing w:after="120" w:line="300"/>
      </w:pPr>
      <w:r>
        <w:rPr>
          <w:rFonts w:ascii="Calibri" w:cs="Calibri" w:eastAsia="Calibri" w:hAnsi="Calibri"/>
          <w:sz w:val="20"/>
          <w:szCs w:val="20"/>
        </w:rPr>
        <w:t xml:space="preserve">⚠️ Ce que tape l'examinateur est gardé dans le ViewModel et recopié en base à chaque frappe (et en bloc à la clôture) : si l'écran affichait la valeur relue depuis Room, le curseur sauterait. À relire.</w:t>
      </w:r>
    </w:p>
    <w:p>
      <w:pPr>
        <w:pStyle w:val="Heading3"/>
        <w:spacing w:after="100" w:before="200"/>
      </w:pPr>
      <w:r>
        <w:rPr>
          <w:rFonts w:ascii="Calibri" w:cs="Calibri" w:eastAsia="Calibri" w:hAnsi="Calibri"/>
          <w:b/>
          <w:bCs/>
          <w:color w:val="0B2E4F"/>
          <w:sz w:val="23"/>
          <w:szCs w:val="23"/>
        </w:rPr>
        <w:t xml:space="preserve">Entrée 20 — 18/09/2026 — Étape D2c, synchronisation hors ligne d'abord</w:t>
      </w:r>
    </w:p>
    <w:p>
      <w:pPr>
        <w:spacing w:after="120" w:line="300"/>
      </w:pPr>
      <w:r>
        <w:rPr>
          <w:rFonts w:ascii="Calibri" w:cs="Calibri" w:eastAsia="Calibri" w:hAnsi="Calibri"/>
          <w:sz w:val="20"/>
          <w:szCs w:val="20"/>
        </w:rPr>
        <w:t xml:space="preserve">- Remarque principale de l'IA : reproduire la démo demosync du cours à l'identique (drapeau sur l'entité, file d'attente = requête, boucle qui s'arrête au premier échec, interrupteur réseau simulé) plutôt qu'inventer un mécanisme : c'est ce que le jury connaît, et un vrai serveur remplacerait le faux sans toucher au reste.</w:t>
      </w:r>
    </w:p>
    <w:p>
      <w:pPr>
        <w:spacing w:after="120" w:line="300"/>
      </w:pPr>
      <w:r>
        <w:rPr>
          <w:rFonts w:ascii="Calibri" w:cs="Calibri" w:eastAsia="Calibri" w:hAnsi="Calibri"/>
          <w:sz w:val="20"/>
          <w:szCs w:val="20"/>
        </w:rPr>
        <w:t xml:space="preserve">⚠️ Le drapeau est levé par une requête UPDATE … SET synchronisee = 1, pas par un @Update de l'objet entier : la note et le statut d'un résultat ne doivent jamais être réécrits (R6), même par accident.</w:t>
      </w:r>
    </w:p>
    <w:p>
      <w:pPr>
        <w:spacing w:after="120" w:line="300"/>
      </w:pPr>
      <w:r>
        <w:rPr>
          <w:rFonts w:ascii="Calibri" w:cs="Calibri" w:eastAsia="Calibri" w:hAnsi="Calibri"/>
          <w:sz w:val="20"/>
          <w:szCs w:val="20"/>
        </w:rPr>
        <w:t xml:space="preserve">⚠️ Le dev 2 avait « figé » le schéma en v3 (D2) ; cette étape le passe en v4. Le binôme doit refaire le point sur le schéma final avant la soutenance.</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5d67d2afd9238706646d220669e00a740907b4d.png"/><Relationship Id="rId14" Type="http://schemas.openxmlformats.org/officeDocument/2006/relationships/image" Target="media/10ee300625daf550dde7c9cc669c48f1d67f6bad.png"/><Relationship Id="rId15" Type="http://schemas.openxmlformats.org/officeDocument/2006/relationships/image" Target="media/13541299d05f3ef204c4885ce1bb2bc617efaa76.png"/><Relationship Id="rId16" Type="http://schemas.openxmlformats.org/officeDocument/2006/relationships/image" Target="media/930c9f246f5ff5b98fe27b576bb6a5ff0dc2960f.png"/><Relationship Id="rId17" Type="http://schemas.openxmlformats.org/officeDocument/2006/relationships/image" Target="media/4255ac79e164e17b083c7ffafcdb2f33bf601d81.png"/><Relationship Id="rId18" Type="http://schemas.openxmlformats.org/officeDocument/2006/relationships/image" Target="media/cbf2116d6fbdab8925455bfa90f510de2b9ce7f8.png"/><Relationship Id="rId19" Type="http://schemas.openxmlformats.org/officeDocument/2006/relationships/image" Target="media/099f6c6b56dc423853af18c2d9b270fe0b1a17bc.png"/><Relationship Id="rId20" Type="http://schemas.openxmlformats.org/officeDocument/2006/relationships/image" Target="media/6890ad47c4c2d5651ae91917458026a1e9775a7b.png"/><Relationship Id="rId21" Type="http://schemas.openxmlformats.org/officeDocument/2006/relationships/image" Target="media/468a493f4989a62681c5192f63a3bb665a963f19.png"/><Relationship Id="rId22" Type="http://schemas.openxmlformats.org/officeDocument/2006/relationships/image" Target="media/b3b82e7709610888315f96910399e93ca0ac61ee.png"/><Relationship Id="rId23" Type="http://schemas.openxmlformats.org/officeDocument/2006/relationships/image" Target="media/1607c4fc213cdb00ceabc2c68f957606b605911a.png"/><Relationship Id="rId24" Type="http://schemas.openxmlformats.org/officeDocument/2006/relationships/image" Target="media/40e01f74187df98d6440fe40eba7dabcc3256a5c.png"/><Relationship Id="rId25" Type="http://schemas.openxmlformats.org/officeDocument/2006/relationships/image" Target="media/8f584d7b26f4f4b688604285bbf26a2756504aab.png"/><Relationship Id="rId26" Type="http://schemas.openxmlformats.org/officeDocument/2006/relationships/image" Target="media/ef67f98b555072311f9abb6878d8b2d2a90900b4.png"/><Relationship Id="rId27" Type="http://schemas.openxmlformats.org/officeDocument/2006/relationships/image" Target="media/7e33869a80f3ad1f8b153f14c778a0bacb139c7f.png"/><Relationship Id="rId28" Type="http://schemas.openxmlformats.org/officeDocument/2006/relationships/image" Target="media/62c9a7328ee8be035ca0f0759e014d8c88ecd5a0.png"/><Relationship Id="rId29" Type="http://schemas.openxmlformats.org/officeDocument/2006/relationships/image" Target="media/c3551008d3295de5cf36deac16a29712b08ae09d.png"/><Relationship Id="rId30" Type="http://schemas.openxmlformats.org/officeDocument/2006/relationships/image" Target="media/aa38a45f650648e72f13182e276b8958f6107523.png"/><Relationship Id="rId31" Type="http://schemas.openxmlformats.org/officeDocument/2006/relationships/image" Target="media/3dd54e0b38f0b758d03b302d4f84c9a6570ef6f6.png"/><Relationship Id="rId32" Type="http://schemas.openxmlformats.org/officeDocument/2006/relationships/image" Target="media/232aa2025f6f3576d2486f3fff40a3f4f164e74a.png"/><Relationship Id="rId33" Type="http://schemas.openxmlformats.org/officeDocument/2006/relationships/image" Target="media/89efad494a19e87e2e94dabb2b0459db4950fd56.png"/><Relationship Id="rId34" Type="http://schemas.openxmlformats.org/officeDocument/2006/relationships/image" Target="media/a5fdef6f9fdaec76303e9feee6fddcb57ae14df1.png"/><Relationship Id="rId35" Type="http://schemas.openxmlformats.org/officeDocument/2006/relationships/image" Target="media/5536d83e3aa2a268e3620169cac0f56d8e1b4943.png"/><Relationship Id="rId36" Type="http://schemas.openxmlformats.org/officeDocument/2006/relationships/image" Target="media/86dd29c4629e62cff8bb18babe0716262600a2d5.png"/><Relationship Id="rId37" Type="http://schemas.openxmlformats.org/officeDocument/2006/relationships/image" Target="media/81c67fb7b5e7f2a57222d2d19b7efc9686b2441b.png"/><Relationship Id="rId38" Type="http://schemas.openxmlformats.org/officeDocument/2006/relationships/image" Target="media/462c39dccc95ab6d85f542e778df2cc3ca4edf93.png"/><Relationship Id="rId39" Type="http://schemas.openxmlformats.org/officeDocument/2006/relationships/image" Target="media/1f5da09c71fa027653b67505e273e94ce01653eb.png"/><Relationship Id="rId40" Type="http://schemas.openxmlformats.org/officeDocument/2006/relationships/image" Target="media/282d67aeafc460464e68901336bd44b244f90ddc.png"/><Relationship Id="rId41" Type="http://schemas.openxmlformats.org/officeDocument/2006/relationships/image" Target="media/c31bdc7ef5d80a3ec94c0cda77447f0426aba616.png"/><Relationship Id="rId42" Type="http://schemas.openxmlformats.org/officeDocument/2006/relationships/image" Target="media/18dee5a69c7dc686afc00d439329366653a487fd.png"/><Relationship Id="rId43" Type="http://schemas.openxmlformats.org/officeDocument/2006/relationships/image" Target="media/f5c991911e9f3c6ac0f0b62f979d2f4f601bc1a5.png"/><Relationship Id="rId44" Type="http://schemas.openxmlformats.org/officeDocument/2006/relationships/image" Target="media/e669896a4cbc863e01c0ab852cbebe45135ff8f5.png"/><Relationship Id="rId45" Type="http://schemas.openxmlformats.org/officeDocument/2006/relationships/image" Target="media/c7c0c75ac5e0b03eb1bc925bcb0bb9cd921524e7.png"/><Relationship Id="rId46" Type="http://schemas.openxmlformats.org/officeDocument/2006/relationships/image" Target="media/6493d9b6e3c327b40a09bf005091b751615ba6a3.png"/><Relationship Id="rId47" Type="http://schemas.openxmlformats.org/officeDocument/2006/relationships/image" Target="media/eb467205c9a249e3ad1f2f86f9c59615fce1c41a.png"/><Relationship Id="rId48" Type="http://schemas.openxmlformats.org/officeDocument/2006/relationships/image" Target="media/629b3085c5cb26954f988a5a22c892eeb90e8b3d.png"/><Relationship Id="rId49" Type="http://schemas.openxmlformats.org/officeDocument/2006/relationships/image" Target="media/e0346eb6b6bc5262541a7c46bd1a3334636cfe99.png"/><Relationship Id="rId50" Type="http://schemas.openxmlformats.org/officeDocument/2006/relationships/image" Target="media/a6885f70a0b94578df4b20e604253583d07aa6dd.png"/><Relationship Id="rId51" Type="http://schemas.openxmlformats.org/officeDocument/2006/relationships/image" Target="media/c983a64eeda7b403a089b8c800c5b6925b9f3dce.png"/><Relationship Id="rId52" Type="http://schemas.openxmlformats.org/officeDocument/2006/relationships/image" Target="media/4acc21c4d67dd1c8b7b2c12d40fa804badb2b38b.png"/><Relationship Id="rId53" Type="http://schemas.openxmlformats.org/officeDocument/2006/relationships/image" Target="media/341b4bc7cdbbf5e69add9e0269e816844aa25b3f.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2026-09-18T14:14:07.709Z</dcterms:created>
  <dcterms:modified xsi:type="dcterms:W3CDTF">2026-09-18T14:14:07.710Z</dcterms:modified>
</cp:coreProperties>
</file>

<file path=docProps/custom.xml><?xml version="1.0" encoding="utf-8"?>
<Properties xmlns="http://schemas.openxmlformats.org/officeDocument/2006/custom-properties" xmlns:vt="http://schemas.openxmlformats.org/officeDocument/2006/docPropsVTypes"/>
</file>