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color w:val="5E6B7C"/>
          <w:sz w:val="24"/>
          <w:szCs w:val="24"/>
        </w:rPr>
        <w:t xml:space="preserve">ITUniversity — Antananarivo</w:t>
      </w:r>
    </w:p>
    <w:p>
      <w:pPr>
        <w:spacing w:after="2400" w:before="0"/>
        <w:jc w:val="center"/>
      </w:pPr>
      <w:r>
        <w:rPr>
          <w:rFonts w:ascii="Calibri" w:cs="Calibri" w:eastAsia="Calibri" w:hAnsi="Calibri"/>
          <w:color w:val="5E6B7C"/>
          <w:sz w:val="22"/>
          <w:szCs w:val="22"/>
        </w:rPr>
        <w:t xml:space="preserve">Master 1 — Initiation au développement mobile natif Kotlin, assistée par IA</w:t>
      </w:r>
    </w:p>
    <w:p>
      <w:pPr>
        <w:pBdr>
          <w:bottom w:val="single" w:color="0F4C81" w:sz="18" w:space="12"/>
        </w:pBdr>
        <w:spacing w:after="200"/>
        <w:jc w:val="center"/>
      </w:pPr>
      <w:r>
        <w:rPr>
          <w:rFonts w:ascii="Calibri" w:cs="Calibri" w:eastAsia="Calibri" w:hAnsi="Calibri"/>
          <w:b/>
          <w:bCs/>
          <w:color w:val="0F4C81"/>
          <w:sz w:val="96"/>
          <w:szCs w:val="96"/>
        </w:rPr>
        <w:t xml:space="preserve">ATT</w:t>
      </w:r>
    </w:p>
    <w:p>
      <w:pPr>
        <w:spacing w:after="100" w:before="200"/>
        <w:jc w:val="center"/>
      </w:pPr>
      <w:r>
        <w:rPr>
          <w:rFonts w:ascii="Calibri" w:cs="Calibri" w:eastAsia="Calibri" w:hAnsi="Calibri"/>
          <w:b/>
          <w:bCs/>
          <w:color w:val="0B2E4F"/>
          <w:sz w:val="40"/>
          <w:szCs w:val="40"/>
        </w:rPr>
        <w:t xml:space="preserve">Digitalisation des examens du permis de conduire</w:t>
      </w:r>
    </w:p>
    <w:p>
      <w:pPr>
        <w:spacing w:after="900" w:before="0"/>
        <w:jc w:val="center"/>
      </w:pPr>
      <w:r>
        <w:rPr>
          <w:rFonts w:ascii="Calibri" w:cs="Calibri" w:eastAsia="Calibri" w:hAnsi="Calibri"/>
          <w:color w:val="5E6B7C"/>
          <w:sz w:val="26"/>
          <w:szCs w:val="26"/>
        </w:rPr>
        <w:t xml:space="preserve">Agence des Transports Terrestres — Madagascar</w:t>
      </w:r>
    </w:p>
    <w:p>
      <w:pPr>
        <w:spacing w:after="100" w:before="0"/>
        <w:jc w:val="center"/>
      </w:pPr>
      <w:r>
        <w:rPr>
          <w:rFonts w:ascii="Calibri" w:cs="Calibri" w:eastAsia="Calibri" w:hAnsi="Calibri"/>
          <w:b/>
          <w:bCs/>
          <w:color w:val="0F4C81"/>
          <w:sz w:val="32"/>
          <w:szCs w:val="32"/>
        </w:rPr>
        <w:t xml:space="preserve">Rapport technique</w:t>
      </w:r>
    </w:p>
    <w:p>
      <w:pPr>
        <w:spacing w:after="2400" w:before="0"/>
        <w:jc w:val="center"/>
      </w:pPr>
      <w:r>
        <w:rPr>
          <w:rFonts w:ascii="Calibri" w:cs="Calibri" w:eastAsia="Calibri" w:hAnsi="Calibri"/>
          <w:color w:val="5E6B7C"/>
          <w:sz w:val="22"/>
          <w:szCs w:val="22"/>
        </w:rPr>
        <w:t xml:space="preserve">Application Android — Kotlin, Jetpack Compose, Room</w:t>
      </w:r>
    </w:p>
    <w:p>
      <w:pPr>
        <w:spacing w:after="80" w:before="0"/>
        <w:jc w:val="center"/>
      </w:pPr>
      <w:r>
        <w:rPr>
          <w:rFonts w:ascii="Calibri" w:cs="Calibri" w:eastAsia="Calibri" w:hAnsi="Calibri"/>
          <w:color w:val="5E6B7C"/>
          <w:sz w:val="22"/>
          <w:szCs w:val="22"/>
        </w:rPr>
        <w:t xml:space="preserve">Réalisé par</w:t>
      </w:r>
    </w:p>
    <w:p>
      <w:pPr>
        <w:spacing w:after="60" w:before="0"/>
        <w:jc w:val="center"/>
      </w:pPr>
      <w:r>
        <w:rPr>
          <w:rFonts w:ascii="Calibri" w:cs="Calibri" w:eastAsia="Calibri" w:hAnsi="Calibri"/>
          <w:b/>
          <w:bCs/>
          <w:color w:val="0B2E4F"/>
          <w:sz w:val="28"/>
          <w:szCs w:val="28"/>
        </w:rPr>
        <w:t xml:space="preserve">MAMINIAINA Ericka</w:t>
      </w:r>
    </w:p>
    <w:p>
      <w:pPr>
        <w:spacing w:after="60" w:before="0"/>
        <w:jc w:val="center"/>
      </w:pPr>
      <w:r>
        <w:rPr>
          <w:rFonts w:ascii="Calibri" w:cs="Calibri" w:eastAsia="Calibri" w:hAnsi="Calibri"/>
          <w:b/>
          <w:bCs/>
          <w:color w:val="0B2E4F"/>
          <w:sz w:val="28"/>
          <w:szCs w:val="28"/>
        </w:rPr>
        <w:t xml:space="preserve">ONINIAINA Mahery</w:t>
      </w:r>
    </w:p>
    <w:p>
      <w:pPr>
        <w:spacing w:after="0" w:before="900"/>
        <w:jc w:val="center"/>
      </w:pPr>
      <w:r>
        <w:rPr>
          <w:rFonts w:ascii="Calibri" w:cs="Calibri" w:eastAsia="Calibri" w:hAnsi="Calibri"/>
          <w:color w:val="5E6B7C"/>
          <w:sz w:val="22"/>
          <w:szCs w:val="22"/>
        </w:rPr>
        <w:t xml:space="preserve">Année universitaire 2025-2026</w:t>
      </w:r>
    </w:p>
    <w:p>
      <w:r>
        <w:br w:type="page"/>
      </w:r>
    </w:p>
    <w:p>
      <w:pPr>
        <w:spacing w:after="240"/>
      </w:pPr>
      <w:r>
        <w:rPr>
          <w:rFonts w:ascii="Calibri" w:cs="Calibri" w:eastAsia="Calibri" w:hAnsi="Calibri"/>
          <w:b/>
          <w:bCs/>
          <w:color w:val="0F4C81"/>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F4C81"/>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B2E4F"/>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60" w:line="300"/>
      </w:pPr>
      <w:r>
        <w:rPr>
          <w:rFonts w:ascii="Calibri" w:cs="Calibri" w:eastAsia="Calibri" w:hAnsi="Calibri"/>
          <w:sz w:val="22"/>
          <w:szCs w:val="22"/>
        </w:rPr>
        <w:t xml:space="preserve">les limites et perspectives, la conclusion, et les annexes : extraits de code, sources, glossaire, comptes de démonstration, questions à valider.</w:t>
      </w:r>
    </w:p>
    <w:p>
      <w:pPr>
        <w:pStyle w:val="Heading2"/>
        <w:spacing w:after="140" w:before="280"/>
      </w:pPr>
      <w:r>
        <w:rPr>
          <w:rFonts w:ascii="Calibri" w:cs="Calibri" w:eastAsia="Calibri" w:hAnsi="Calibri"/>
          <w:b/>
          <w:bCs/>
          <w:color w:val="0B2E4F"/>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F4C81"/>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B). Les difficultés relevées sont les suivantes.</w:t>
      </w:r>
    </w:p>
    <w:p>
      <w:pPr>
        <w:pStyle w:val="Heading2"/>
        <w:spacing w:after="140" w:before="280"/>
      </w:pPr>
      <w:r>
        <w:rPr>
          <w:rFonts w:ascii="Calibri" w:cs="Calibri" w:eastAsia="Calibri" w:hAnsi="Calibri"/>
          <w:b/>
          <w:bCs/>
          <w:color w:val="0B2E4F"/>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B2E4F"/>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60" w:line="30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60" w:line="30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60" w:line="30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B2E4F"/>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00" w:before="360"/>
      </w:pPr>
      <w:r>
        <w:rPr>
          <w:rFonts w:ascii="Calibri" w:cs="Calibri" w:eastAsia="Calibri" w:hAnsi="Calibri"/>
          <w:b/>
          <w:bCs/>
          <w:color w:val="0F4C81"/>
          <w:sz w:val="32"/>
          <w:szCs w:val="32"/>
        </w:rPr>
        <w:t xml:space="preserve">3. Objectifs et périmètre</w:t>
      </w:r>
    </w:p>
    <w:p>
      <w:pPr>
        <w:pStyle w:val="Heading2"/>
        <w:spacing w:after="140" w:before="280"/>
      </w:pPr>
      <w:r>
        <w:rPr>
          <w:rFonts w:ascii="Calibri" w:cs="Calibri" w:eastAsia="Calibri" w:hAnsi="Calibri"/>
          <w:b/>
          <w:bCs/>
          <w:color w:val="0B2E4F"/>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B2E4F"/>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Dans le périmètre</w:t>
            </w:r>
          </w:p>
        </w:tc>
        <w:tc>
          <w:tcPr>
            <w:tcW w:type="dxa" w:w="405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B2E4F"/>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base locale : aucun serveur n'est nécessaire pour fonctionner.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F4C81"/>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Problème observé</w:t>
            </w:r>
          </w:p>
        </w:tc>
        <w:tc>
          <w:tcPr>
            <w:tcW w:type="dxa" w:w="469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Réponse de l'application</w:t>
            </w:r>
          </w:p>
        </w:tc>
        <w:tc>
          <w:tcPr>
            <w:tcW w:type="dxa" w:w="198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F4C81"/>
          <w:sz w:val="32"/>
          <w:szCs w:val="32"/>
        </w:rPr>
        <w:t xml:space="preserve">5. Acteurs et rôles</w:t>
      </w:r>
    </w:p>
    <w:p>
      <w:pPr>
        <w:spacing w:after="120" w:line="30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fait</w:t>
            </w:r>
          </w:p>
        </w:tc>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F4C81"/>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D.</w:t>
      </w:r>
    </w:p>
    <w:p>
      <w:pPr>
        <w:spacing w:after="120" w:line="30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140" w:before="280"/>
      </w:pPr>
      <w:r>
        <w:rPr>
          <w:rFonts w:ascii="Calibri" w:cs="Calibri" w:eastAsia="Calibri" w:hAnsi="Calibri"/>
          <w:b/>
          <w:bCs/>
          <w:color w:val="0B2E4F"/>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 — Écran de connexion</w:t>
      </w:r>
    </w:p>
    <w:p>
      <w:pPr>
        <w:jc w:val="center"/>
      </w:pPr>
      <w:r>
        <w:drawing>
          <wp:inline distT="0" distB="0" distL="0" distR="0">
            <wp:extent cx="1981200" cy="3524250"/>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 — Connexion refusée : le message reste volontairement vague sur la cause</w:t>
      </w:r>
    </w:p>
    <w:p>
      <w:pPr>
        <w:spacing w:after="120" w:line="30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 — Accueil du super administrateur : configuration et comptes</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6 — Accueil de l'examinateur : sessions du jour, évaluations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7 — Accueil du candidat : son parcours</w:t>
      </w:r>
    </w:p>
    <w:p>
      <w:pPr>
        <w:pStyle w:val="Heading2"/>
        <w:spacing w:after="140" w:before="280"/>
      </w:pPr>
      <w:r>
        <w:rPr>
          <w:rFonts w:ascii="Calibri" w:cs="Calibri" w:eastAsia="Calibri" w:hAnsi="Calibri"/>
          <w:b/>
          <w:bCs/>
          <w:color w:val="0B2E4F"/>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9 — Les catégories de permis, point d'entrée de la configuration</w:t>
      </w:r>
    </w:p>
    <w:p>
      <w:pPr>
        <w:jc w:val="center"/>
      </w:pPr>
      <w:r>
        <w:drawing>
          <wp:inline distT="0" distB="0" distL="0" distR="0">
            <wp:extent cx="1981200" cy="3524250"/>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10 — Les comptes, vus par le super administrateur</w:t>
      </w:r>
    </w:p>
    <w:p>
      <w:pPr>
        <w:pStyle w:val="Heading2"/>
        <w:spacing w:after="140" w:before="280"/>
      </w:pPr>
      <w:r>
        <w:rPr>
          <w:rFonts w:ascii="Calibri" w:cs="Calibri" w:eastAsia="Calibri" w:hAnsi="Calibri"/>
          <w:b/>
          <w:bCs/>
          <w:color w:val="0B2E4F"/>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11 — Liste des centres, rattachés à leur région</w:t>
      </w:r>
    </w:p>
    <w:p>
      <w:pPr>
        <w:pStyle w:val="Heading2"/>
        <w:spacing w:after="140" w:before="280"/>
      </w:pPr>
      <w:r>
        <w:rPr>
          <w:rFonts w:ascii="Calibri" w:cs="Calibri" w:eastAsia="Calibri" w:hAnsi="Calibri"/>
          <w:b/>
          <w:bCs/>
          <w:color w:val="0B2E4F"/>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12 — Fiche d'une auto-école et ses comptes</w:t>
      </w:r>
    </w:p>
    <w:p>
      <w:pPr>
        <w:pStyle w:val="Heading2"/>
        <w:spacing w:after="140" w:before="280"/>
      </w:pPr>
      <w:r>
        <w:rPr>
          <w:rFonts w:ascii="Calibri" w:cs="Calibri" w:eastAsia="Calibri" w:hAnsi="Calibri"/>
          <w:b/>
          <w:bCs/>
          <w:color w:val="0B2E4F"/>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13 — Création d'un examinateur avec son compte</w:t>
      </w:r>
    </w:p>
    <w:p>
      <w:pPr>
        <w:pStyle w:val="Heading2"/>
        <w:spacing w:after="140" w:before="280"/>
      </w:pPr>
      <w:r>
        <w:rPr>
          <w:rFonts w:ascii="Calibri" w:cs="Calibri" w:eastAsia="Calibri" w:hAnsi="Calibri"/>
          <w:b/>
          <w:bCs/>
          <w:color w:val="0B2E4F"/>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14 — Dossier constitué par l'auto-école, prêt à être soumis</w:t>
      </w:r>
    </w:p>
    <w:p>
      <w:pPr>
        <w:jc w:val="center"/>
      </w:pPr>
      <w:r>
        <w:drawing>
          <wp:inline distT="0" distB="0" distL="0" distR="0">
            <wp:extent cx="1981200" cy="3524250"/>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15 — « Mes candidats » : l'auto-école ne voit que les siens</w:t>
      </w:r>
    </w:p>
    <w:p>
      <w:pPr>
        <w:spacing w:after="120" w:line="30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16 — Pièce du dossier avec un fichier joint : ouvrir, remplacer, retirer</w:t>
      </w:r>
    </w:p>
    <w:p>
      <w:pPr>
        <w:jc w:val="center"/>
      </w:pPr>
      <w:r>
        <w:drawing>
          <wp:inline distT="0" distB="0" distL="0" distR="0">
            <wp:extent cx="2524125" cy="4486275"/>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17 — La pièce jointe ouverte par l'ATT ou l'auto-école</w:t>
      </w:r>
    </w:p>
    <w:p>
      <w:pPr>
        <w:pStyle w:val="Heading2"/>
        <w:spacing w:after="140" w:before="280"/>
      </w:pPr>
      <w:r>
        <w:rPr>
          <w:rFonts w:ascii="Calibri" w:cs="Calibri" w:eastAsia="Calibri" w:hAnsi="Calibri"/>
          <w:b/>
          <w:bCs/>
          <w:color w:val="0B2E4F"/>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18 — Décision de l'ATT : valider, incomplet ou refuser avec motif</w:t>
      </w:r>
    </w:p>
    <w:p>
      <w:pPr>
        <w:jc w:val="center"/>
      </w:pPr>
      <w:r>
        <w:drawing>
          <wp:inline distT="0" distB="0" distL="0" distR="0">
            <wp:extent cx="1981200" cy="3524250"/>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19 — « Dossiers à traiter » : la file des dossiers soumis, vue par l'ATT</w:t>
      </w:r>
    </w:p>
    <w:p>
      <w:pPr>
        <w:pStyle w:val="Heading2"/>
        <w:spacing w:after="140" w:before="280"/>
      </w:pPr>
      <w:r>
        <w:rPr>
          <w:rFonts w:ascii="Calibri" w:cs="Calibri" w:eastAsia="Calibri" w:hAnsi="Calibri"/>
          <w:b/>
          <w:bCs/>
          <w:color w:val="0B2E4F"/>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20 — Création d'une session : les créneaux se calculent à la saisie</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22 — Fiche d'une session : créneaux et remplissage, statut, actions et documents</w:t>
      </w:r>
    </w:p>
    <w:p>
      <w:pPr>
        <w:pStyle w:val="Heading2"/>
        <w:spacing w:after="140" w:before="280"/>
      </w:pPr>
      <w:r>
        <w:rPr>
          <w:rFonts w:ascii="Calibri" w:cs="Calibri" w:eastAsia="Calibri" w:hAnsi="Calibri"/>
          <w:b/>
          <w:bCs/>
          <w:color w:val="0B2E4F"/>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23 — Inscriptions d'une session : numéro d'appel, créneau, actions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24 — La convocation imprimable : centre, date, heure de passage estimée, pièces à apporter</w:t>
      </w:r>
    </w:p>
    <w:p>
      <w:pPr>
        <w:pStyle w:val="Heading2"/>
        <w:spacing w:after="140" w:before="280"/>
      </w:pPr>
      <w:r>
        <w:rPr>
          <w:rFonts w:ascii="Calibri" w:cs="Calibri" w:eastAsia="Calibri" w:hAnsi="Calibri"/>
          <w:b/>
          <w:bCs/>
          <w:color w:val="0B2E4F"/>
          <w:sz w:val="26"/>
          <w:szCs w:val="26"/>
        </w:rPr>
        <w:t xml:space="preserve">6.10 Appel et présence</w:t>
      </w:r>
    </w:p>
    <w:p>
      <w:pPr>
        <w:spacing w:after="120" w:line="30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25 — Appel d'une session : présents, retards, absents</w:t>
      </w:r>
    </w:p>
    <w:p>
      <w:pPr>
        <w:pStyle w:val="Heading2"/>
        <w:spacing w:after="140" w:before="280"/>
      </w:pPr>
      <w:r>
        <w:rPr>
          <w:rFonts w:ascii="Calibri" w:cs="Calibri" w:eastAsia="Calibri" w:hAnsi="Calibri"/>
          <w:b/>
          <w:bCs/>
          <w:color w:val="0B2E4F"/>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26 — Vue de l'examinateur : numéros d'appel, sans les noms</w:t>
      </w:r>
    </w:p>
    <w:p>
      <w:pPr>
        <w:jc w:val="center"/>
      </w:pPr>
      <w:r>
        <w:drawing>
          <wp:inline distT="0" distB="0" distL="0" distR="0">
            <wp:extent cx="1981200" cy="3524250"/>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27 — « Sessions du jour » de l'examinateur, avec présents et passages ouverts</w:t>
      </w:r>
    </w:p>
    <w:p>
      <w:pPr>
        <w:pStyle w:val="Heading2"/>
        <w:spacing w:after="140" w:before="280"/>
      </w:pPr>
      <w:r>
        <w:rPr>
          <w:rFonts w:ascii="Calibri" w:cs="Calibri" w:eastAsia="Calibri" w:hAnsi="Calibri"/>
          <w:b/>
          <w:bCs/>
          <w:color w:val="0B2E4F"/>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28 — Feuille d'examen théorique : questions posées, réponses, points</w:t>
      </w:r>
    </w:p>
    <w:p>
      <w:pPr>
        <w:pStyle w:val="Heading2"/>
        <w:spacing w:after="140" w:before="280"/>
      </w:pPr>
      <w:r>
        <w:rPr>
          <w:rFonts w:ascii="Calibri" w:cs="Calibri" w:eastAsia="Calibri" w:hAnsi="Calibri"/>
          <w:b/>
          <w:bCs/>
          <w:color w:val="0B2E4F"/>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29 — Grille de conduite : points par critère, faute éliminatoire, observations</w:t>
      </w:r>
    </w:p>
    <w:p>
      <w:pPr>
        <w:pStyle w:val="Heading2"/>
        <w:spacing w:after="140" w:before="280"/>
      </w:pPr>
      <w:r>
        <w:rPr>
          <w:rFonts w:ascii="Calibri" w:cs="Calibri" w:eastAsia="Calibri" w:hAnsi="Calibri"/>
          <w:b/>
          <w:bCs/>
          <w:color w:val="0B2E4F"/>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30 — Détail d'un résultat avant validation par l'ATT</w:t>
      </w:r>
    </w:p>
    <w:p>
      <w:pPr>
        <w:jc w:val="center"/>
      </w:pPr>
      <w:r>
        <w:drawing>
          <wp:inline distT="0" distB="0" distL="0" distR="0">
            <wp:extent cx="1981200" cy="3524250"/>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32 — Résultat corrigé : une nouvelle ligne avec son motif, l'ancienne reste consultable</w:t>
      </w:r>
    </w:p>
    <w:p>
      <w:pPr>
        <w:pStyle w:val="Heading2"/>
        <w:spacing w:after="140" w:before="280"/>
      </w:pPr>
      <w:r>
        <w:rPr>
          <w:rFonts w:ascii="Calibri" w:cs="Calibri" w:eastAsia="Calibri" w:hAnsi="Calibri"/>
          <w:b/>
          <w:bCs/>
          <w:color w:val="0B2E4F"/>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33 — Résultat en échec : épreuves à repasser et date de réinscription</w:t>
      </w:r>
    </w:p>
    <w:p>
      <w:pPr>
        <w:pStyle w:val="Heading2"/>
        <w:spacing w:after="140" w:before="280"/>
      </w:pPr>
      <w:r>
        <w:rPr>
          <w:rFonts w:ascii="Calibri" w:cs="Calibri" w:eastAsia="Calibri" w:hAnsi="Calibri"/>
          <w:b/>
          <w:bCs/>
          <w:color w:val="0B2E4F"/>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34 — Parcours du candidat, vu avec son compte</w:t>
      </w:r>
    </w:p>
    <w:p>
      <w:pPr>
        <w:jc w:val="center"/>
      </w:pPr>
      <w:r>
        <w:drawing>
          <wp:inline distT="0" distB="0" distL="0" distR="0">
            <wp:extent cx="1981200" cy="3524250"/>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36 — Résultats vus par l'auto-école : seulement les résultats validés</w:t>
      </w:r>
    </w:p>
    <w:p>
      <w:pPr>
        <w:pStyle w:val="Heading2"/>
        <w:spacing w:after="140" w:before="280"/>
      </w:pPr>
      <w:r>
        <w:rPr>
          <w:rFonts w:ascii="Calibri" w:cs="Calibri" w:eastAsia="Calibri" w:hAnsi="Calibri"/>
          <w:b/>
          <w:bCs/>
          <w:color w:val="0B2E4F"/>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37 — Relevé de résultat, prêt à imprimer</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38 — Liste d'appel imprimable d'une session, avec cases à cocher</w:t>
      </w:r>
    </w:p>
    <w:p>
      <w:pPr>
        <w:jc w:val="center"/>
      </w:pPr>
      <w:r>
        <w:drawing>
          <wp:inline distT="0" distB="0" distL="0" distR="0">
            <wp:extent cx="1981200" cy="3524250"/>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39 — Liste des admis d'une session : seulement les résultats validés</w:t>
      </w:r>
    </w:p>
    <w:p>
      <w:pPr>
        <w:pStyle w:val="Heading2"/>
        <w:spacing w:after="140" w:before="280"/>
      </w:pPr>
      <w:r>
        <w:rPr>
          <w:rFonts w:ascii="Calibri" w:cs="Calibri" w:eastAsia="Calibri" w:hAnsi="Calibri"/>
          <w:b/>
          <w:bCs/>
          <w:color w:val="0B2E4F"/>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40 — Journal des modifications, filtrable</w:t>
      </w:r>
    </w:p>
    <w:p>
      <w:pPr>
        <w:pStyle w:val="Heading2"/>
        <w:spacing w:after="140" w:before="280"/>
      </w:pPr>
      <w:r>
        <w:rPr>
          <w:rFonts w:ascii="Calibri" w:cs="Calibri" w:eastAsia="Calibri" w:hAnsi="Calibri"/>
          <w:b/>
          <w:bCs/>
          <w:color w:val="0B2E4F"/>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41 — Synchronisation : réseau coupé, un résultat en attente, un envoyé</w:t>
      </w:r>
    </w:p>
    <w:p>
      <w:pPr>
        <w:pStyle w:val="Heading1"/>
        <w:pageBreakBefore/>
        <w:spacing w:after="200" w:before="360"/>
      </w:pPr>
      <w:r>
        <w:rPr>
          <w:rFonts w:ascii="Calibri" w:cs="Calibri" w:eastAsia="Calibri" w:hAnsi="Calibri"/>
          <w:b/>
          <w:bCs/>
          <w:color w:val="0F4C81"/>
          <w:sz w:val="32"/>
          <w:szCs w:val="32"/>
        </w:rPr>
        <w:t xml:space="preserve">7. Architecture technique</w:t>
      </w:r>
    </w:p>
    <w:p>
      <w:pPr>
        <w:pStyle w:val="Heading2"/>
        <w:spacing w:after="140" w:before="280"/>
      </w:pPr>
      <w:r>
        <w:rPr>
          <w:rFonts w:ascii="Calibri" w:cs="Calibri" w:eastAsia="Calibri" w:hAnsi="Calibri"/>
          <w:b/>
          <w:bCs/>
          <w:color w:val="0B2E4F"/>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Couche</w:t>
            </w:r>
          </w:p>
        </w:tc>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CandidatDao,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B2E4F"/>
          <w:sz w:val="26"/>
          <w:szCs w:val="26"/>
        </w:rPr>
        <w:t xml:space="preserve">7.2 Modèle de données</w:t>
      </w:r>
    </w:p>
    <w:p>
      <w:pPr>
        <w:spacing w:after="120" w:line="300"/>
      </w:pPr>
      <w:r>
        <w:rPr>
          <w:rFonts w:ascii="Calibri" w:cs="Calibri" w:eastAsia="Calibri" w:hAnsi="Calibri"/>
          <w:sz w:val="22"/>
          <w:szCs w:val="22"/>
        </w:rPr>
        <w:t xml:space="preserve">24 entités Room, reliées par des clés étrangères, en six familles. Le schéma complet, avec chaque attribut et chaque statut, est décrit dans le document de conception du modèle de données ; Room en exporte une copie JSON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Famille</w:t>
            </w:r>
          </w:p>
        </w:tc>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Entités</w:t>
            </w:r>
          </w:p>
        </w:tc>
        <w:tc>
          <w:tcPr>
            <w:tcW w:type="dxa" w:w="433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B2E4F"/>
          <w:sz w:val="26"/>
          <w:szCs w:val="26"/>
        </w:rPr>
        <w:t xml:space="preserve">7.3 Flux d'un écran</w:t>
      </w:r>
    </w:p>
    <w:p>
      <w:pPr>
        <w:spacing w:after="120" w:line="30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20" w:line="300"/>
      </w:pPr>
      <w:r>
        <w:rPr>
          <w:rFonts w:ascii="Calibri" w:cs="Calibri" w:eastAsia="Calibri" w:hAnsi="Calibri"/>
          <w:sz w:val="22"/>
          <w:szCs w:val="22"/>
        </w:rPr>
        <w:t xml:space="preserve">L'annexe A montre les quatre briques de ce flux : l'écriture et sa ligne d'historique dans une même transaction (A.1), une règle pure et son test (A.2), un ViewModel qui combine les flux de Room en un seul état (A.3) et le tirage du sujet avec le hasard injecté (A.4).</w:t>
      </w:r>
    </w:p>
    <w:p>
      <w:pPr>
        <w:pStyle w:val="Heading2"/>
        <w:spacing w:after="140" w:before="280"/>
      </w:pPr>
      <w:r>
        <w:rPr>
          <w:rFonts w:ascii="Calibri" w:cs="Calibri" w:eastAsia="Calibri" w:hAnsi="Calibri"/>
          <w:b/>
          <w:bCs/>
          <w:color w:val="0B2E4F"/>
          <w:sz w:val="26"/>
          <w:szCs w:val="26"/>
        </w:rPr>
        <w:t xml:space="preserve">7.4 Sécurité</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60" w:line="300"/>
      </w:pPr>
      <w:r>
        <w:rPr>
          <w:rFonts w:ascii="Calibri" w:cs="Calibri" w:eastAsia="Calibri" w:hAnsi="Calibri"/>
          <w:sz w:val="22"/>
          <w:szCs w:val="22"/>
        </w:rPr>
        <w:t xml:space="preserve">Session de connexion en mémoire, reconnexion à chaque lancement ; chaque ViewModel filtre ses requêtes selon le rôle du compte connecté, un examinateur qui ouvre l'appel d'une session ne reçoit que les numéros.</w:t>
      </w:r>
    </w:p>
    <w:p>
      <w:pPr>
        <w:pStyle w:val="ListParagraph"/>
        <w:numPr>
          <w:ilvl w:val="0"/>
          <w:numId w:val="2"/>
        </w:numPr>
        <w:spacing w:after="60" w:line="30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60" w:line="30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140" w:before="280"/>
      </w:pPr>
      <w:r>
        <w:rPr>
          <w:rFonts w:ascii="Calibri" w:cs="Calibri" w:eastAsia="Calibri" w:hAnsi="Calibri"/>
          <w:b/>
          <w:bCs/>
          <w:color w:val="0B2E4F"/>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140" w:before="280"/>
      </w:pPr>
      <w:r>
        <w:rPr>
          <w:rFonts w:ascii="Calibri" w:cs="Calibri" w:eastAsia="Calibri" w:hAnsi="Calibri"/>
          <w:b/>
          <w:bCs/>
          <w:color w:val="0B2E4F"/>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Élément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JUnit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4.13.2</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8.0 (niveau d'API 26)</w:t>
            </w:r>
          </w:p>
        </w:tc>
      </w:tr>
    </w:tbl>
    <w:p>
      <w:pPr>
        <w:spacing w:after="160"/>
      </w:pPr>
    </w:p>
    <w:p>
      <w:pPr>
        <w:spacing w:after="120" w:line="30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140" w:before="280"/>
      </w:pPr>
      <w:r>
        <w:rPr>
          <w:rFonts w:ascii="Calibri" w:cs="Calibri" w:eastAsia="Calibri" w:hAnsi="Calibri"/>
          <w:b/>
          <w:bCs/>
          <w:color w:val="0B2E4F"/>
          <w:sz w:val="26"/>
          <w:szCs w:val="26"/>
        </w:rPr>
        <w:t xml:space="preserve">7.7 Erreurs et cas dégradés</w:t>
      </w:r>
    </w:p>
    <w:p>
      <w:pPr>
        <w:spacing w:after="120" w:line="30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20" w:line="30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20" w:line="30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00" w:before="360"/>
      </w:pPr>
      <w:r>
        <w:rPr>
          <w:rFonts w:ascii="Calibri" w:cs="Calibri" w:eastAsia="Calibri" w:hAnsi="Calibri"/>
          <w:b/>
          <w:bCs/>
          <w:color w:val="0F4C81"/>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Règle</w:t>
            </w:r>
          </w:p>
        </w:tc>
        <w:tc>
          <w:tcPr>
            <w:tcW w:type="dxa" w:w="288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Valeur par défaut</w:t>
            </w:r>
          </w:p>
        </w:tc>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Durée de l'épreuve théorique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Examen dans la région de l'auto-école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non exigé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L'auto-école peut demander une inscription</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jc w:val="center"/>
      </w:pPr>
      <w:r>
        <w:drawing>
          <wp:inline distT="0" distB="0" distL="0" distR="0">
            <wp:extent cx="1981200" cy="3524250"/>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43 — Modification d'une règle : la valeur, sa description et la case « à confirmer »</w:t>
      </w:r>
    </w:p>
    <w:p>
      <w:pPr>
        <w:pStyle w:val="Heading1"/>
        <w:pageBreakBefore/>
        <w:spacing w:after="200" w:before="360"/>
      </w:pPr>
      <w:r>
        <w:rPr>
          <w:rFonts w:ascii="Calibri" w:cs="Calibri" w:eastAsia="Calibri" w:hAnsi="Calibri"/>
          <w:b/>
          <w:bCs/>
          <w:color w:val="0F4C81"/>
          <w:sz w:val="32"/>
          <w:szCs w:val="32"/>
        </w:rPr>
        <w:t xml:space="preserve">9. Qualité, tests et traçabilité</w:t>
      </w:r>
    </w:p>
    <w:p>
      <w:pPr>
        <w:pStyle w:val="Heading2"/>
        <w:spacing w:after="140" w:before="280"/>
      </w:pPr>
      <w:r>
        <w:rPr>
          <w:rFonts w:ascii="Calibri" w:cs="Calibri" w:eastAsia="Calibri" w:hAnsi="Calibri"/>
          <w:b/>
          <w:bCs/>
          <w:color w:val="0B2E4F"/>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126 tests unitaires passent, lancés par ./gradlew :app:testDebugUnitTest. Les classes de test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PiecesJointesTest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spacing w:after="120" w:line="30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20" w:line="300"/>
      </w:pPr>
      <w:r>
        <w:rPr>
          <w:rFonts w:ascii="Calibri" w:cs="Calibri" w:eastAsia="Calibri" w:hAnsi="Calibri"/>
          <w:sz w:val="22"/>
          <w:szCs w:val="22"/>
        </w:rPr>
        <w:t xml:space="preserve">Ce que ces tests couvrent, et ce qu'ils ne couvrent pas : ils portent sur les règles pures de metier/, sur le hachage des mots de passe et sur le menu par rôle (MenuParRoleTest). Les ViewModels, les DAO et les écrans ne sont pas testés automatiquement : les requêtes des DAO reposent sur la vérification du SQL à la compilation par Room, et les écrans ont été vérifiés à la main sur l'émulateur, avec un script de pilotage qui enchaîne les actions par le texte des boutons et rejoue chaque scénario à l'identique ; les dix contraintes du cadrage ont chacune leur scénario dans les comptes rendus d'étape. Les tests unitaires ne font pas partie du programme de ce module ; nous les avons introduits parce qu'ils sont le seul moyen de prouver un calcul de barème sans téléphone.</w:t>
      </w:r>
    </w:p>
    <w:p>
      <w:pPr>
        <w:spacing w:after="120" w:line="30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140" w:before="280"/>
      </w:pPr>
      <w:r>
        <w:rPr>
          <w:rFonts w:ascii="Calibri" w:cs="Calibri" w:eastAsia="Calibri" w:hAnsi="Calibri"/>
          <w:b/>
          <w:bCs/>
          <w:color w:val="0B2E4F"/>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Contrainte</w:t>
            </w:r>
          </w:p>
        </w:tc>
        <w:tc>
          <w:tcPr>
            <w:tcW w:type="dxa" w:w="595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B2E4F"/>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20" w:line="30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00" w:before="360"/>
      </w:pPr>
      <w:r>
        <w:rPr>
          <w:rFonts w:ascii="Calibri" w:cs="Calibri" w:eastAsia="Calibri" w:hAnsi="Calibri"/>
          <w:b/>
          <w:bCs/>
          <w:color w:val="0F4C81"/>
          <w:sz w:val="32"/>
          <w:szCs w:val="32"/>
        </w:rPr>
        <w:t xml:space="preserve">10. Usage de l'IA et jugement porté</w:t>
      </w:r>
    </w:p>
    <w:p>
      <w:pPr>
        <w:spacing w:after="120" w:line="30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20" w:line="30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projet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20" w:line="30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de la fusionner, et rejoué chaque scénario sur l'émulateur. Un journal tenu à chaque étape consigne ce qui a été soumis, la remarque principale de l'IA, les points d'alerte, et notre verdict.</w:t>
      </w:r>
    </w:p>
    <w:p>
      <w:pPr>
        <w:pStyle w:val="Heading2"/>
        <w:spacing w:after="140" w:before="280"/>
      </w:pPr>
      <w:r>
        <w:rPr>
          <w:rFonts w:ascii="Calibri" w:cs="Calibri" w:eastAsia="Calibri" w:hAnsi="Calibri"/>
          <w:b/>
          <w:bCs/>
          <w:color w:val="0B2E4F"/>
          <w:sz w:val="26"/>
          <w:szCs w:val="26"/>
        </w:rPr>
        <w:t xml:space="preserve">10.1 Ce que nous avons refusé ou corrigé</w:t>
      </w:r>
    </w:p>
    <w:p>
      <w:pPr>
        <w:pStyle w:val="ListParagraph"/>
        <w:numPr>
          <w:ilvl w:val="0"/>
          <w:numId w:val="2"/>
        </w:numPr>
        <w:spacing w:after="60" w:line="30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60" w:line="30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 (journal, entrée 2).</w:t>
      </w:r>
    </w:p>
    <w:p>
      <w:pPr>
        <w:pStyle w:val="ListParagraph"/>
        <w:numPr>
          <w:ilvl w:val="0"/>
          <w:numId w:val="2"/>
        </w:numPr>
        <w:spacing w:after="60" w:line="30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 (entrée 10).</w:t>
      </w:r>
    </w:p>
    <w:p>
      <w:pPr>
        <w:pStyle w:val="ListParagraph"/>
        <w:numPr>
          <w:ilvl w:val="0"/>
          <w:numId w:val="2"/>
        </w:numPr>
        <w:spacing w:after="60" w:line="30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 (entrée 12).</w:t>
      </w:r>
    </w:p>
    <w:p>
      <w:pPr>
        <w:pStyle w:val="ListParagraph"/>
        <w:numPr>
          <w:ilvl w:val="0"/>
          <w:numId w:val="2"/>
        </w:numPr>
        <w:spacing w:after="60" w:line="30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140" w:before="280"/>
      </w:pPr>
      <w:r>
        <w:rPr>
          <w:rFonts w:ascii="Calibri" w:cs="Calibri" w:eastAsia="Calibri" w:hAnsi="Calibri"/>
          <w:b/>
          <w:bCs/>
          <w:color w:val="0B2E4F"/>
          <w:sz w:val="26"/>
          <w:szCs w:val="26"/>
        </w:rPr>
        <w:t xml:space="preserve">10.2 Ce que l'IA fait bien, ce qu'elle fait mal</w:t>
      </w:r>
    </w:p>
    <w:p>
      <w:pPr>
        <w:spacing w:after="120" w:line="30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20" w:line="30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partie du code.</w:t>
      </w:r>
    </w:p>
    <w:p>
      <w:pPr>
        <w:pStyle w:val="Heading1"/>
        <w:pageBreakBefore/>
        <w:spacing w:after="200" w:before="360"/>
      </w:pPr>
      <w:r>
        <w:rPr>
          <w:rFonts w:ascii="Calibri" w:cs="Calibri" w:eastAsia="Calibri" w:hAnsi="Calibri"/>
          <w:b/>
          <w:bCs/>
          <w:color w:val="0F4C81"/>
          <w:sz w:val="32"/>
          <w:szCs w:val="32"/>
        </w:rPr>
        <w:t xml:space="preserve">11. Déroulement du projet</w:t>
      </w:r>
    </w:p>
    <w:p>
      <w:pPr>
        <w:pStyle w:val="Heading2"/>
        <w:spacing w:after="140" w:before="280"/>
      </w:pPr>
      <w:r>
        <w:rPr>
          <w:rFonts w:ascii="Calibri" w:cs="Calibri" w:eastAsia="Calibri" w:hAnsi="Calibri"/>
          <w:b/>
          <w:bCs/>
          <w:color w:val="0B2E4F"/>
          <w:sz w:val="26"/>
          <w:szCs w:val="26"/>
        </w:rPr>
        <w:t xml:space="preserve">11.1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140" w:before="280"/>
      </w:pPr>
      <w:r>
        <w:rPr>
          <w:rFonts w:ascii="Calibri" w:cs="Calibri" w:eastAsia="Calibri" w:hAnsi="Calibri"/>
          <w:b/>
          <w:bCs/>
          <w:color w:val="0B2E4F"/>
          <w:sz w:val="26"/>
          <w:szCs w:val="26"/>
        </w:rPr>
        <w:t xml:space="preserve">11.2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Étape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Refonte de l'interface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jointes numériques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Rejeu de A à Z et rapport</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160"/>
      </w:pPr>
    </w:p>
    <w:p>
      <w:pPr>
        <w:pStyle w:val="Heading2"/>
        <w:spacing w:after="140" w:before="280"/>
      </w:pPr>
      <w:r>
        <w:rPr>
          <w:rFonts w:ascii="Calibri" w:cs="Calibri" w:eastAsia="Calibri" w:hAnsi="Calibri"/>
          <w:b/>
          <w:bCs/>
          <w:color w:val="0B2E4F"/>
          <w:sz w:val="26"/>
          <w:szCs w:val="26"/>
        </w:rPr>
        <w:t xml:space="preserve">11.3 Durée réelle et bilan</w:t>
      </w:r>
    </w:p>
    <w:p>
      <w:pPr>
        <w:spacing w:after="120" w:line="300"/>
      </w:pPr>
      <w:r>
        <w:rPr>
          <w:rFonts w:ascii="Calibri" w:cs="Calibri" w:eastAsia="Calibri" w:hAnsi="Calibri"/>
          <w:sz w:val="22"/>
          <w:szCs w:val="22"/>
        </w:rPr>
        <w:t xml:space="preserve">Le plan prévoyait dix semaines ; le développement s'est fait en peu de jours, à deux, précédé de la recherche documentaire de l'annexe B.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le passage de l'examen par l'une de nous, sous la forme d'une feuille d'examen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F4C81"/>
          <w:sz w:val="32"/>
          <w:szCs w:val="32"/>
        </w:rPr>
        <w:t xml:space="preserve">12.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Séance</w:t>
            </w:r>
          </w:p>
        </w:tc>
        <w:tc>
          <w:tcPr>
            <w:tcW w:type="dxa" w:w="297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Notions du cours</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jamais rien ne bloque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24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B2E4F"/>
          <w:sz w:val="26"/>
          <w:szCs w:val="26"/>
        </w:rPr>
        <w:t xml:space="preserve">12.1 Une preuve par séance</w:t>
      </w:r>
    </w:p>
    <w:p>
      <w:pPr>
        <w:pStyle w:val="ListParagraph"/>
        <w:numPr>
          <w:ilvl w:val="0"/>
          <w:numId w:val="2"/>
        </w:numPr>
        <w:spacing w:after="60" w:line="300"/>
      </w:pPr>
      <w:r>
        <w:rPr>
          <w:rFonts w:ascii="Calibri" w:cs="Calibri" w:eastAsia="Calibri" w:hAnsi="Calibri"/>
          <w:b/>
          <w:bCs/>
          <w:sz w:val="22"/>
          <w:szCs w:val="22"/>
        </w:rPr>
        <w:t xml:space="preserve">Séance 1. </w:t>
      </w:r>
      <w:r>
        <w:rPr>
          <w:rFonts w:ascii="Calibri" w:cs="Calibri" w:eastAsia="Calibri" w:hAnsi="Calibri"/>
          <w:sz w:val="22"/>
          <w:szCs w:val="22"/>
        </w:rPr>
        <w:t xml:space="preserve">Règle de tirage du sujet (couche métier) : le sujet est tiré avec filter et shuffled ; la règle d'inscription rend un message ou null avec un when sans if ; aucune entité n'a de propriété mutable ; le mot-clé !! n'apparaît nulle part dans le projet.</w:t>
      </w:r>
    </w:p>
    <w:p>
      <w:pPr>
        <w:pStyle w:val="ListParagraph"/>
        <w:numPr>
          <w:ilvl w:val="0"/>
          <w:numId w:val="2"/>
        </w:numPr>
        <w:spacing w:after="60" w:line="30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60" w:line="30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60" w:line="300"/>
      </w:pPr>
      <w:r>
        <w:rPr>
          <w:rFonts w:ascii="Calibri" w:cs="Calibri" w:eastAsia="Calibri" w:hAnsi="Calibri"/>
          <w:b/>
          <w:bCs/>
          <w:sz w:val="22"/>
          <w:szCs w:val="22"/>
        </w:rPr>
        <w:t xml:space="preserve">Séance 4. </w:t>
      </w:r>
      <w:r>
        <w:rPr>
          <w:rFonts w:ascii="Calibri" w:cs="Calibri" w:eastAsia="Calibri" w:hAnsi="Calibri"/>
          <w:sz w:val="22"/>
          <w:szCs w:val="22"/>
        </w:rPr>
        <w:t xml:space="preserve">Composants communs : le cadre d'écran, les champs et les cartes sont des composables réutilisés par tous les écrans ; l'ouverture d'un menu déroulant (remember dans le sélecteur) est le principal état local ; le reste vit dans les ViewModels.</w:t>
      </w:r>
    </w:p>
    <w:p>
      <w:pPr>
        <w:pStyle w:val="ListParagraph"/>
        <w:numPr>
          <w:ilvl w:val="0"/>
          <w:numId w:val="2"/>
        </w:numPr>
        <w:spacing w:after="60" w:line="30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60" w:line="30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60" w:line="300"/>
      </w:pPr>
      <w:r>
        <w:rPr>
          <w:rFonts w:ascii="Calibri" w:cs="Calibri" w:eastAsia="Calibri" w:hAnsi="Calibri"/>
          <w:b/>
          <w:bCs/>
          <w:sz w:val="22"/>
          <w:szCs w:val="22"/>
        </w:rPr>
        <w:t xml:space="preserve">Séance 7. </w:t>
      </w:r>
      <w:r>
        <w:rPr>
          <w:rFonts w:ascii="Calibri" w:cs="Calibri" w:eastAsia="Calibri" w:hAnsi="Calibri"/>
          <w:sz w:val="22"/>
          <w:szCs w:val="22"/>
        </w:rPr>
        <w:t xml:space="preserve">DAO des examens : requêtes Flow pour ce qui s'affiche, suspend pour les écritures, SQL vérifié à la compilation ; la synchronisation reprend la file d'attente à drapeau de la démonstration demosync, avec les deux différences expliquées en 7.5.</w:t>
      </w:r>
    </w:p>
    <w:p>
      <w:pPr>
        <w:pStyle w:val="ListParagraph"/>
        <w:numPr>
          <w:ilvl w:val="0"/>
          <w:numId w:val="2"/>
        </w:numPr>
        <w:spacing w:after="60" w:line="30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140" w:before="280"/>
      </w:pPr>
      <w:r>
        <w:rPr>
          <w:rFonts w:ascii="Calibri" w:cs="Calibri" w:eastAsia="Calibri" w:hAnsi="Calibri"/>
          <w:b/>
          <w:bCs/>
          <w:color w:val="0B2E4F"/>
          <w:sz w:val="26"/>
          <w:szCs w:val="26"/>
        </w:rPr>
        <w:t xml:space="preserve">12.2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tenu dans un document du projet (31 entrées). Deux exemples de ce que nous avons refusé ou remplacé : le patron Repository (couche intermédiaire entre ViewModel et DAO),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F4C81"/>
          <w:sz w:val="32"/>
          <w:szCs w:val="32"/>
        </w:rPr>
        <w:t xml:space="preserve">13. Limites et perspectives</w:t>
      </w:r>
    </w:p>
    <w:p>
      <w:pPr>
        <w:pStyle w:val="Heading2"/>
        <w:spacing w:after="140" w:before="280"/>
      </w:pPr>
      <w:r>
        <w:rPr>
          <w:rFonts w:ascii="Calibri" w:cs="Calibri" w:eastAsia="Calibri" w:hAnsi="Calibri"/>
          <w:b/>
          <w:bCs/>
          <w:color w:val="0B2E4F"/>
          <w:sz w:val="26"/>
          <w:szCs w:val="26"/>
        </w:rPr>
        <w:t xml:space="preserve">13.1 Ce que l'application ne fait pas encore, et pourquoi c'est bloquant pour un centre</w:t>
      </w:r>
    </w:p>
    <w:p>
      <w:pPr>
        <w:spacing w:after="120" w:line="300"/>
      </w:pPr>
      <w:r>
        <w:rPr>
          <w:rFonts w:ascii="Calibri" w:cs="Calibri" w:eastAsia="Calibri" w:hAnsi="Calibri"/>
          <w:sz w:val="22"/>
          <w:szCs w:val="22"/>
        </w:rPr>
        <w:t xml:space="preserve">Un jury pardonne une limite écrite ; un centre d'examen, lui, ne peut pas travailler avec. Voici ce qui manque avant tout usage réel.</w:t>
      </w:r>
    </w:p>
    <w:p>
      <w:pPr>
        <w:pStyle w:val="ListParagraph"/>
        <w:numPr>
          <w:ilvl w:val="0"/>
          <w:numId w:val="2"/>
        </w:numPr>
        <w:spacing w:after="60" w:line="30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60" w:line="30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60" w:line="30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60" w:line="30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60" w:line="30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60" w:line="30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140" w:before="280"/>
      </w:pPr>
      <w:r>
        <w:rPr>
          <w:rFonts w:ascii="Calibri" w:cs="Calibri" w:eastAsia="Calibri" w:hAnsi="Calibri"/>
          <w:b/>
          <w:bCs/>
          <w:color w:val="0B2E4F"/>
          <w:sz w:val="26"/>
          <w:szCs w:val="26"/>
        </w:rPr>
        <w:t xml:space="preserve">13.2 Ce qui reste à confirmer ou à construire pour coller au terrain</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 (annexe E).</w:t>
      </w:r>
    </w:p>
    <w:p>
      <w:pPr>
        <w:pStyle w:val="ListParagraph"/>
        <w:numPr>
          <w:ilvl w:val="0"/>
          <w:numId w:val="2"/>
        </w:numPr>
        <w:spacing w:after="60" w:line="30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60" w:line="30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60" w:line="30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60" w:line="30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60" w:line="30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60" w:line="30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140" w:before="280"/>
      </w:pPr>
      <w:r>
        <w:rPr>
          <w:rFonts w:ascii="Calibri" w:cs="Calibri" w:eastAsia="Calibri" w:hAnsi="Calibri"/>
          <w:b/>
          <w:bCs/>
          <w:color w:val="0B2E4F"/>
          <w:sz w:val="26"/>
          <w:szCs w:val="26"/>
        </w:rPr>
        <w:t xml:space="preserve">13.3 Perspectives</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F4C81"/>
          <w:sz w:val="32"/>
          <w:szCs w:val="32"/>
        </w:rPr>
        <w:t xml:space="preserve">14.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à deux en peu de jours, pouvait atteindre. Il peut être largement amélioré.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F4C81"/>
          <w:sz w:val="32"/>
          <w:szCs w:val="32"/>
        </w:rPr>
        <w:t xml:space="preserve">Annexe A — Extraits de code commentés</w:t>
      </w:r>
    </w:p>
    <w:p>
      <w:pPr>
        <w:pStyle w:val="Heading2"/>
        <w:spacing w:after="140" w:before="280"/>
      </w:pPr>
      <w:r>
        <w:rPr>
          <w:rFonts w:ascii="Calibri" w:cs="Calibri" w:eastAsia="Calibri" w:hAnsi="Calibri"/>
          <w:b/>
          <w:bCs/>
          <w:color w:val="0B2E4F"/>
          <w:sz w:val="26"/>
          <w:szCs w:val="26"/>
        </w:rPr>
        <w:t xml:space="preserve">A.1 Écriture et historique dans une même transaction</w:t>
      </w:r>
    </w:p>
    <w:p>
      <w:pPr>
        <w:spacing w:after="120" w:line="300"/>
      </w:pPr>
      <w:r>
        <w:rPr>
          <w:rFonts w:ascii="Calibri" w:cs="Calibri" w:eastAsia="Calibri" w:hAnsi="Calibri"/>
          <w:sz w:val="22"/>
          <w:szCs w:val="22"/>
        </w:rPr>
        <w:t xml:space="preserve">Extrait simplifié de AppelViewModel (la version réelle vérifie d'abord le statut de la session et de la présence).</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B2E4F"/>
          <w:sz w:val="26"/>
          <w:szCs w:val="26"/>
        </w:rPr>
        <w:t xml:space="preserve">A.2 Une règle pure et son test</w:t>
      </w:r>
    </w:p>
    <w:p>
      <w:pPr>
        <w:shd w:fill="F3F6FA" w:color="auto" w:val="clear"/>
        <w:spacing w:after="0" w:line="260"/>
        <w:ind w:left="200" w:right="200"/>
      </w:pPr>
      <w:r>
        <w:rPr>
          <w:rFonts w:ascii="Consolas" w:cs="Consolas" w:eastAsia="Consolas" w:hAnsi="Consolas"/>
          <w:sz w:val="18"/>
          <w:szCs w:val="18"/>
        </w:rPr>
        <w:t xml:space="preserve">// Règle d'ouverture d'une tentative (couche métier)</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Son test unitaire</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Extrait simplifié (les messages réels citent le numéro et le statut du passage). La fonction ne connaît ni Android ni la base : elle reçoit des valeurs et renvoie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B2E4F"/>
          <w:sz w:val="26"/>
          <w:szCs w:val="26"/>
        </w:rPr>
        <w:t xml:space="preserve">A.3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B2E4F"/>
          <w:sz w:val="26"/>
          <w:szCs w:val="26"/>
        </w:rPr>
        <w:t xml:space="preserve">A.4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F4C81"/>
          <w:sz w:val="32"/>
          <w:szCs w:val="32"/>
        </w:rPr>
        <w:t xml:space="preserve">Annexe B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Sujet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Source</w:t>
            </w:r>
          </w:p>
        </w:tc>
        <w:tc>
          <w:tcPr>
            <w:tcW w:type="dxa" w:w="180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 / 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(2020–2026)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pStyle w:val="Heading1"/>
        <w:pageBreakBefore/>
        <w:spacing w:after="200" w:before="360"/>
      </w:pPr>
      <w:r>
        <w:rPr>
          <w:rFonts w:ascii="Calibri" w:cs="Calibri" w:eastAsia="Calibri" w:hAnsi="Calibri"/>
          <w:b/>
          <w:bCs/>
          <w:color w:val="0F4C81"/>
          <w:sz w:val="32"/>
          <w:szCs w:val="32"/>
        </w:rPr>
        <w:t xml:space="preserve">Annexe C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Terme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Numéro d'appel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Créneau</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 de connexion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Règle configurable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Faute éliminatoire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Transaction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ATT, CIM, CIN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Torolalana</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MVP</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Pull request</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ViewModel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StateFlow, combine, stateIn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DAO</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NavHost, route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PBKDF2, sel, empreinte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Graine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D — Comptes de démonstration</w:t>
      </w:r>
    </w:p>
    <w:p>
      <w:pPr>
        <w:spacing w:after="120" w:line="300"/>
      </w:pPr>
      <w:r>
        <w:rPr>
          <w:rFonts w:ascii="Calibri" w:cs="Calibri" w:eastAsia="Calibri" w:hAnsi="Calibri"/>
          <w:sz w:val="22"/>
          <w:szCs w:val="22"/>
        </w:rPr>
        <w:t xml:space="preserve">Comptes disponibles au premier lancement d'une version de développement, rappelés sur l'écran de connexion avec un bouton par rôle ; les trois derniers n'existent pas dans la version livrée, et les deux premiers y ont un mot de passe initial documenté, qu'il faut changer soi-même : l'application ne l'impose pas encore (13.1).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2706"/>
        <w:gridCol w:w="3247"/>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Identifiant</w:t>
            </w:r>
          </w:p>
        </w:tc>
        <w:tc>
          <w:tcPr>
            <w:tcW w:type="dxa" w:w="324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Mot de passe initial</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ChangezMoi2026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autoecole2026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candidat2026</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E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Question</w:t>
            </w:r>
          </w:p>
        </w:tc>
        <w:tc>
          <w:tcPr>
            <w:tcW w:type="dxa" w:w="523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30 / 20 dans les données initiales, remplacé par une version 2 à 20 / 12 pendant la démonstration (figure de 6.2)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maximale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Q13 — Document final et signature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B7C"/>
        <w:sz w:val="17"/>
        <w:szCs w:val="17"/>
      </w:rPr>
      <w:t xml:space="preserve">Page </w:t>
    </w:r>
    <w:r>
      <w:rPr>
        <w:rFonts w:ascii="Calibri" w:cs="Calibri" w:eastAsia="Calibri" w:hAnsi="Calibri"/>
        <w:color w:val="5E6B7C"/>
        <w:sz w:val="17"/>
        <w:szCs w:val="17"/>
      </w:rPr>
      <w:fldChar w:fldCharType="begin"/>
      <w:instrText xml:space="preserve">PAGE</w:instrText>
      <w:fldChar w:fldCharType="separate"/>
      <w:fldChar w:fldCharType="end"/>
    </w:r>
    <w:r>
      <w:rPr>
        <w:rFonts w:ascii="Calibri" w:cs="Calibri" w:eastAsia="Calibri" w:hAnsi="Calibri"/>
        <w:color w:val="5E6B7C"/>
        <w:sz w:val="17"/>
        <w:szCs w:val="17"/>
      </w:rPr>
      <w:t xml:space="preserve"> / </w:t>
    </w:r>
    <w:r>
      <w:rPr>
        <w:rFonts w:ascii="Calibri" w:cs="Calibri" w:eastAsia="Calibri" w:hAnsi="Calibri"/>
        <w:color w:val="5E6B7C"/>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5E6B7C"/>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F4C81"/>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E4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932905a1571b16ed3bbde03827e316060056b08.png"/><Relationship Id="rId12" Type="http://schemas.openxmlformats.org/officeDocument/2006/relationships/image" Target="media/0041e874faad9f131e75257b9e05dd7b08bf078d.png"/><Relationship Id="rId13" Type="http://schemas.openxmlformats.org/officeDocument/2006/relationships/image" Target="media/c5d67d2afd9238706646d220669e00a740907b4d.png"/><Relationship Id="rId14" Type="http://schemas.openxmlformats.org/officeDocument/2006/relationships/image" Target="media/10ee300625daf550dde7c9cc669c48f1d67f6bad.png"/><Relationship Id="rId15" Type="http://schemas.openxmlformats.org/officeDocument/2006/relationships/image" Target="media/13541299d05f3ef204c4885ce1bb2bc617efaa76.png"/><Relationship Id="rId16" Type="http://schemas.openxmlformats.org/officeDocument/2006/relationships/image" Target="media/930c9f246f5ff5b98fe27b576bb6a5ff0dc2960f.png"/><Relationship Id="rId17" Type="http://schemas.openxmlformats.org/officeDocument/2006/relationships/image" Target="media/4255ac79e164e17b083c7ffafcdb2f33bf601d81.png"/><Relationship Id="rId18" Type="http://schemas.openxmlformats.org/officeDocument/2006/relationships/image" Target="media/cbf2116d6fbdab8925455bfa90f510de2b9ce7f8.png"/><Relationship Id="rId19" Type="http://schemas.openxmlformats.org/officeDocument/2006/relationships/image" Target="media/099f6c6b56dc423853af18c2d9b270fe0b1a17bc.png"/><Relationship Id="rId20" Type="http://schemas.openxmlformats.org/officeDocument/2006/relationships/image" Target="media/6890ad47c4c2d5651ae91917458026a1e9775a7b.png"/><Relationship Id="rId21" Type="http://schemas.openxmlformats.org/officeDocument/2006/relationships/image" Target="media/468a493f4989a62681c5192f63a3bb665a963f19.png"/><Relationship Id="rId22" Type="http://schemas.openxmlformats.org/officeDocument/2006/relationships/image" Target="media/b3b82e7709610888315f96910399e93ca0ac61ee.png"/><Relationship Id="rId23" Type="http://schemas.openxmlformats.org/officeDocument/2006/relationships/image" Target="media/1607c4fc213cdb00ceabc2c68f957606b605911a.png"/><Relationship Id="rId24" Type="http://schemas.openxmlformats.org/officeDocument/2006/relationships/image" Target="media/40e01f74187df98d6440fe40eba7dabcc3256a5c.png"/><Relationship Id="rId25" Type="http://schemas.openxmlformats.org/officeDocument/2006/relationships/image" Target="media/8f584d7b26f4f4b688604285bbf26a2756504aab.png"/><Relationship Id="rId26" Type="http://schemas.openxmlformats.org/officeDocument/2006/relationships/image" Target="media/ef67f98b555072311f9abb6878d8b2d2a90900b4.png"/><Relationship Id="rId27" Type="http://schemas.openxmlformats.org/officeDocument/2006/relationships/image" Target="media/7e33869a80f3ad1f8b153f14c778a0bacb139c7f.png"/><Relationship Id="rId28" Type="http://schemas.openxmlformats.org/officeDocument/2006/relationships/image" Target="media/62c9a7328ee8be035ca0f0759e014d8c88ecd5a0.png"/><Relationship Id="rId29" Type="http://schemas.openxmlformats.org/officeDocument/2006/relationships/image" Target="media/c3551008d3295de5cf36deac16a29712b08ae09d.png"/><Relationship Id="rId30" Type="http://schemas.openxmlformats.org/officeDocument/2006/relationships/image" Target="media/aa38a45f650648e72f13182e276b8958f6107523.png"/><Relationship Id="rId31" Type="http://schemas.openxmlformats.org/officeDocument/2006/relationships/image" Target="media/3dd54e0b38f0b758d03b302d4f84c9a6570ef6f6.png"/><Relationship Id="rId32" Type="http://schemas.openxmlformats.org/officeDocument/2006/relationships/image" Target="media/232aa2025f6f3576d2486f3fff40a3f4f164e74a.png"/><Relationship Id="rId33" Type="http://schemas.openxmlformats.org/officeDocument/2006/relationships/image" Target="media/89efad494a19e87e2e94dabb2b0459db4950fd56.png"/><Relationship Id="rId34" Type="http://schemas.openxmlformats.org/officeDocument/2006/relationships/image" Target="media/a5fdef6f9fdaec76303e9feee6fddcb57ae14df1.png"/><Relationship Id="rId35" Type="http://schemas.openxmlformats.org/officeDocument/2006/relationships/image" Target="media/5536d83e3aa2a268e3620169cac0f56d8e1b4943.png"/><Relationship Id="rId36" Type="http://schemas.openxmlformats.org/officeDocument/2006/relationships/image" Target="media/86dd29c4629e62cff8bb18babe0716262600a2d5.png"/><Relationship Id="rId37" Type="http://schemas.openxmlformats.org/officeDocument/2006/relationships/image" Target="media/81c67fb7b5e7f2a57222d2d19b7efc9686b2441b.png"/><Relationship Id="rId38" Type="http://schemas.openxmlformats.org/officeDocument/2006/relationships/image" Target="media/462c39dccc95ab6d85f542e778df2cc3ca4edf93.png"/><Relationship Id="rId39" Type="http://schemas.openxmlformats.org/officeDocument/2006/relationships/image" Target="media/1f5da09c71fa027653b67505e273e94ce01653eb.png"/><Relationship Id="rId40" Type="http://schemas.openxmlformats.org/officeDocument/2006/relationships/image" Target="media/282d67aeafc460464e68901336bd44b244f90ddc.png"/><Relationship Id="rId41" Type="http://schemas.openxmlformats.org/officeDocument/2006/relationships/image" Target="media/c31bdc7ef5d80a3ec94c0cda77447f0426aba616.png"/><Relationship Id="rId42" Type="http://schemas.openxmlformats.org/officeDocument/2006/relationships/image" Target="media/18dee5a69c7dc686afc00d439329366653a487fd.png"/><Relationship Id="rId43" Type="http://schemas.openxmlformats.org/officeDocument/2006/relationships/image" Target="media/f5c991911e9f3c6ac0f0b62f979d2f4f601bc1a5.png"/><Relationship Id="rId44" Type="http://schemas.openxmlformats.org/officeDocument/2006/relationships/image" Target="media/e669896a4cbc863e01c0ab852cbebe45135ff8f5.png"/><Relationship Id="rId45" Type="http://schemas.openxmlformats.org/officeDocument/2006/relationships/image" Target="media/c7c0c75ac5e0b03eb1bc925bcb0bb9cd921524e7.png"/><Relationship Id="rId46" Type="http://schemas.openxmlformats.org/officeDocument/2006/relationships/image" Target="media/6493d9b6e3c327b40a09bf005091b751615ba6a3.png"/><Relationship Id="rId47" Type="http://schemas.openxmlformats.org/officeDocument/2006/relationships/image" Target="media/eb467205c9a249e3ad1f2f86f9c59615fce1c41a.png"/><Relationship Id="rId48" Type="http://schemas.openxmlformats.org/officeDocument/2006/relationships/image" Target="media/629b3085c5cb26954f988a5a22c892eeb90e8b3d.png"/><Relationship Id="rId49" Type="http://schemas.openxmlformats.org/officeDocument/2006/relationships/image" Target="media/e0346eb6b6bc5262541a7c46bd1a3334636cfe99.png"/><Relationship Id="rId50" Type="http://schemas.openxmlformats.org/officeDocument/2006/relationships/image" Target="media/a6885f70a0b94578df4b20e604253583d07aa6dd.png"/><Relationship Id="rId51" Type="http://schemas.openxmlformats.org/officeDocument/2006/relationships/image" Target="media/c983a64eeda7b403a089b8c800c5b6925b9f3dce.png"/><Relationship Id="rId52" Type="http://schemas.openxmlformats.org/officeDocument/2006/relationships/image" Target="media/4acc21c4d67dd1c8b7b2c12d40fa804badb2b38b.png"/><Relationship Id="rId53" Type="http://schemas.openxmlformats.org/officeDocument/2006/relationships/image" Target="media/341b4bc7cdbbf5e69add9e0269e816844aa25b3f.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2026-09-18T14:29:59.820Z</dcterms:created>
  <dcterms:modified xsi:type="dcterms:W3CDTF">2026-09-18T14:29:59.821Z</dcterms:modified>
</cp:coreProperties>
</file>

<file path=docProps/custom.xml><?xml version="1.0" encoding="utf-8"?>
<Properties xmlns="http://schemas.openxmlformats.org/officeDocument/2006/custom-properties" xmlns:vt="http://schemas.openxmlformats.org/officeDocument/2006/docPropsVTypes"/>
</file>