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关于做好续贷工作 提高小微企业金融服务水平的通知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关于做好续贷工作 提高小微企业金融服务水平的通知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国家金融监督管理总局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监管文件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金规〔2024〕13号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2024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https://www.nfra.gov.cn/cn/view/pages/governmentDetail.html?docId=1180101&amp;itemId=4215&amp;generaltype=1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续贷适用对象：</w:t>
      </w:r>
      <w:r>
        <w:t>对依法合规经营、信用良好且有持续融资需求的主体，可按规定提供续贷支持。</w:t>
      </w:r>
    </w:p>
    <w:p>
      <w:pPr>
        <w:pStyle w:val="ListBullet"/>
      </w:pPr>
      <w:r>
        <w:rPr>
          <w:b/>
        </w:rPr>
        <w:t>续贷风险管理：</w:t>
      </w:r>
      <w:r>
        <w:t>银行应做好调查评审、合同衔接、风险分类和贷后管理。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符合条件的小微企业及相关经营主体</w:t>
      </w:r>
      <w:r>
        <w:rPr>
          <w:b/>
        </w:rPr>
        <w:t xml:space="preserve">  |  用途：</w:t>
      </w:r>
      <w:r>
        <w:t>续贷资格预诊断</w:t>
      </w:r>
    </w:p>
    <w:p>
      <w:r>
        <w:rPr>
          <w:b/>
        </w:rPr>
        <w:t>适用对象：</w:t>
      </w:r>
      <w:r>
        <w:t>办理续贷的银行与借款人</w:t>
      </w:r>
      <w:r>
        <w:rPr>
          <w:b/>
        </w:rPr>
        <w:t xml:space="preserve">  |  用途：</w:t>
      </w:r>
      <w:r>
        <w:t>续贷材料清单；风险提醒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续贷不是自动展期，也不免除重新调查评审。</w:t>
      </w:r>
    </w:p>
    <w:p>
      <w:pPr>
        <w:pStyle w:val="ListBullet"/>
      </w:pPr>
      <w:r>
        <w:t>隐瞒恶化现金流或借新还旧风险会影响判断。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fra.gov.cn/cn/view/pages/governmentDetail.html?docId=1180101&amp;itemId=4215&amp;generaltyp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