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关于普惠信贷尽职免责工作的通知</w:t>
      </w:r>
    </w:p>
    <w:p>
      <w:pPr>
        <w:jc w:val="center"/>
      </w:pPr>
      <w:r>
        <w:rPr>
          <w:color w:val="5B7180"/>
          <w:sz w:val="26"/>
        </w:rPr>
        <w:t>普惠金融 Agent 知识库来源整理分册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1. 关于普惠信贷尽职免责工作的通知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监管文件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2024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https://www.nfra.gov.cn/cn/view/pages/governmentDetail.html?docId=1173314&amp;itemId=4215&amp;generaltype=1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尽职免责边界：</w:t>
      </w:r>
      <w:r>
        <w:t>建立尽职免责机制，对符合规定并勤勉尽责的人员按程序开展认定。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银行普惠信贷从业人员与机构</w:t>
      </w:r>
      <w:r>
        <w:rPr>
          <w:b/>
        </w:rPr>
        <w:t xml:space="preserve">  |  用途：</w:t>
      </w:r>
      <w:r>
        <w:t>术语解释；防止误导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尽职免责属于银行内部治理，不是借款人债务免责。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fra.gov.cn/cn/view/pages/governmentDetail.html?docId=1173314&amp;itemId=4215&amp;generaltyp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