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1400" w:after="320"/>
        <w:jc w:val="center"/>
      </w:pPr>
      <w:r>
        <w:rPr>
          <w:rFonts w:ascii="微软雅黑" w:hAnsi="微软雅黑" w:eastAsia="微软雅黑"/>
          <w:b/>
          <w:color w:val="0F4C5C"/>
          <w:sz w:val="48"/>
        </w:rPr>
        <w:t>商业银行互联网贷款管理暂行办法</w:t>
      </w:r>
    </w:p>
    <w:p>
      <w:pPr>
        <w:jc w:val="center"/>
      </w:pPr>
      <w:r>
        <w:rPr>
          <w:color w:val="5B7180"/>
          <w:sz w:val="26"/>
        </w:rPr>
        <w:t>普惠金融 Agent 知识库来源整理分册</w:t>
      </w:r>
    </w:p>
    <w:p/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994"/>
      </w:tblGrid>
      <w:tr>
        <w:tc>
          <w:tcPr>
            <w:tcW w:type="dxa" w:w="9994"/>
            <w:shd w:fill="E8F1F4"/>
            <w:tcMar>
              <w:top w:w="160" w:type="dxa"/>
              <w:start w:w="180" w:type="dxa"/>
              <w:bottom w:w="160" w:type="dxa"/>
              <w:end w:w="180" w:type="dxa"/>
            </w:tcMar>
          </w:tcPr>
          <w:p>
            <w:pPr>
              <w:jc w:val="center"/>
            </w:pPr>
            <w:r>
              <w:rPr>
                <w:b/>
              </w:rPr>
              <w:t>整理日期：2026-06-20</w:t>
              <w:br/>
              <w:t>用途：课程项目的数据知识库与 Agent 引用依据</w:t>
            </w:r>
          </w:p>
        </w:tc>
      </w:tr>
    </w:tbl>
    <w:p>
      <w:r>
        <w:br w:type="page"/>
      </w:r>
    </w:p>
    <w:p>
      <w:pPr>
        <w:pStyle w:val="Heading1"/>
      </w:pPr>
      <w:r>
        <w:t>1. 商业银行互联网贷款管理暂行办法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997"/>
        <w:gridCol w:w="4997"/>
      </w:tblGrid>
      <w:tr>
        <w:tc>
          <w:tcPr>
            <w:tcW w:type="dxa" w:w="4997"/>
            <w:shd w:fill="E8EEF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b/>
              </w:rPr>
              <w:t>来源机构</w:t>
            </w:r>
          </w:p>
        </w:tc>
        <w:tc>
          <w:tcPr>
            <w:tcW w:type="dxa" w:w="499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t>国家金融监督管理总局/原银保监会</w:t>
            </w:r>
          </w:p>
        </w:tc>
      </w:tr>
      <w:tr>
        <w:tc>
          <w:tcPr>
            <w:tcW w:type="dxa" w:w="4997"/>
            <w:shd w:fill="E8EEF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b/>
              </w:rPr>
              <w:t>资料类型</w:t>
            </w:r>
          </w:p>
        </w:tc>
        <w:tc>
          <w:tcPr>
            <w:tcW w:type="dxa" w:w="499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t>监管规章</w:t>
            </w:r>
          </w:p>
        </w:tc>
      </w:tr>
      <w:tr>
        <w:tc>
          <w:tcPr>
            <w:tcW w:type="dxa" w:w="4997"/>
            <w:shd w:fill="E8EEF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b/>
              </w:rPr>
              <w:t>文号</w:t>
            </w:r>
          </w:p>
        </w:tc>
        <w:tc>
          <w:tcPr>
            <w:tcW w:type="dxa" w:w="499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t>公开页未单独填写/不适用</w:t>
            </w:r>
          </w:p>
        </w:tc>
      </w:tr>
      <w:tr>
        <w:tc>
          <w:tcPr>
            <w:tcW w:type="dxa" w:w="4997"/>
            <w:shd w:fill="E8EEF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b/>
              </w:rPr>
              <w:t>发布日期</w:t>
            </w:r>
          </w:p>
        </w:tc>
        <w:tc>
          <w:tcPr>
            <w:tcW w:type="dxa" w:w="499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t>2020</w:t>
            </w:r>
          </w:p>
        </w:tc>
      </w:tr>
      <w:tr>
        <w:tc>
          <w:tcPr>
            <w:tcW w:type="dxa" w:w="4997"/>
            <w:shd w:fill="E8EEF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b/>
              </w:rPr>
              <w:t>状态说明</w:t>
            </w:r>
          </w:p>
        </w:tc>
        <w:tc>
          <w:tcPr>
            <w:tcW w:type="dxa" w:w="499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t>公开来源；使用前复核现行有效性</w:t>
            </w:r>
          </w:p>
        </w:tc>
      </w:tr>
    </w:tbl>
    <w:p>
      <w:r>
        <w:rPr>
          <w:b/>
        </w:rPr>
        <w:t>官方来源：</w:t>
      </w:r>
      <w:hyperlink r:id="rId11">
        <w:r>
          <w:rPr>
            <w:color w:val="0563C1"/>
            <w:u w:val="single"/>
          </w:rPr>
          <w:t>https://www.nfra.gov.cn/cn/view/pages/governmentDetail.html?docId=916833&amp;itemId=861&amp;generaltype=1</w:t>
        </w:r>
      </w:hyperlink>
    </w:p>
    <w:p>
      <w:pPr>
        <w:pStyle w:val="Heading2"/>
      </w:pPr>
      <w:r>
        <w:t>核心规则摘要</w:t>
      </w:r>
    </w:p>
    <w:p>
      <w:pPr>
        <w:pStyle w:val="ListBullet"/>
      </w:pPr>
      <w:r>
        <w:rPr>
          <w:b/>
        </w:rPr>
        <w:t>线上风控与人工复核：</w:t>
      </w:r>
      <w:r>
        <w:t>银行应建立覆盖模型、数据、授信、支付和贷后管理的风险控制体系，并按规定设置人工复核。</w:t>
      </w:r>
    </w:p>
    <w:p>
      <w:pPr>
        <w:pStyle w:val="ListBullet"/>
      </w:pPr>
      <w:r>
        <w:rPr>
          <w:b/>
        </w:rPr>
        <w:t>数据与合作机构：</w:t>
      </w:r>
      <w:r>
        <w:t>银行承担风险管理主体责任，并管理合作机构、数据使用和消费者权益保护。</w:t>
      </w:r>
    </w:p>
    <w:p>
      <w:pPr>
        <w:pStyle w:val="Heading2"/>
      </w:pPr>
      <w:r>
        <w:t>适用对象与 Agent 用途</w:t>
      </w:r>
    </w:p>
    <w:p>
      <w:r>
        <w:rPr>
          <w:b/>
        </w:rPr>
        <w:t>适用对象：</w:t>
      </w:r>
      <w:r>
        <w:t>开展互联网贷款业务的商业银行</w:t>
      </w:r>
      <w:r>
        <w:rPr>
          <w:b/>
        </w:rPr>
        <w:t xml:space="preserve">  |  用途：</w:t>
      </w:r>
      <w:r>
        <w:t>线上审批解释；模型合规</w:t>
      </w:r>
    </w:p>
    <w:p>
      <w:r>
        <w:rPr>
          <w:b/>
        </w:rPr>
        <w:t>适用对象：</w:t>
      </w:r>
      <w:r>
        <w:t>商业银行及互联网贷款合作机构</w:t>
      </w:r>
      <w:r>
        <w:rPr>
          <w:b/>
        </w:rPr>
        <w:t xml:space="preserve">  |  用途：</w:t>
      </w:r>
      <w:r>
        <w:t>数据合规；合作方风险提示</w:t>
      </w:r>
    </w:p>
    <w:p>
      <w:pPr>
        <w:pStyle w:val="Heading2"/>
      </w:pPr>
      <w:r>
        <w:t>风险与解释边界</w:t>
      </w:r>
    </w:p>
    <w:p>
      <w:pPr>
        <w:pStyle w:val="ListBullet"/>
      </w:pPr>
      <w:r>
        <w:t>自动化模型不得突破审慎经营与消费者保护要求。</w:t>
      </w:r>
    </w:p>
    <w:p>
      <w:pPr>
        <w:pStyle w:val="ListBullet"/>
      </w:pPr>
      <w:r>
        <w:t>不得将核心风控责任简单外包；采集数据应合法授权。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037" w:right="1123" w:bottom="979" w:left="1123" w:header="432" w:footer="432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fldChar w:fldCharType="begin"/>
      <w:instrText xml:space="preserve"> PAGE </w:instrText>
      <w:fldChar w:fldCharType="end"/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Caption"/>
      <w:jc w:val="right"/>
    </w:pPr>
    <w:r>
      <w:t>普惠金融小微企业融资诊断 Agent｜课程项目资料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300" w:lineRule="auto"/>
    </w:pPr>
    <w:rPr>
      <w:rFonts w:ascii="Calibri" w:hAnsi="Calibri" w:eastAsia="等线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360" w:after="200"/>
      <w:outlineLvl w:val="0"/>
    </w:pPr>
    <w:rPr>
      <w:rFonts w:asciiTheme="majorHAnsi" w:eastAsiaTheme="majorEastAsia" w:hAnsiTheme="majorHAnsi" w:cstheme="majorBidi" w:ascii="Calibri" w:hAnsi="Calibri" w:eastAsia="微软雅黑"/>
      <w:b/>
      <w:bCs/>
      <w:color w:val="1F4E79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80" w:after="140"/>
      <w:outlineLvl w:val="1"/>
    </w:pPr>
    <w:rPr>
      <w:rFonts w:asciiTheme="majorHAnsi" w:eastAsiaTheme="majorEastAsia" w:hAnsiTheme="majorHAnsi" w:cstheme="majorBidi" w:ascii="Calibri" w:hAnsi="Calibri" w:eastAsia="微软雅黑"/>
      <w:b/>
      <w:bCs/>
      <w:color w:val="1F4E79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100"/>
      <w:outlineLvl w:val="2"/>
    </w:pPr>
    <w:rPr>
      <w:rFonts w:asciiTheme="majorHAnsi" w:eastAsiaTheme="majorEastAsia" w:hAnsiTheme="majorHAnsi" w:cstheme="majorBidi" w:ascii="Calibri" w:hAnsi="Calibri" w:eastAsia="微软雅黑"/>
      <w:b/>
      <w:bCs/>
      <w:color w:val="17365D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PolicyNote">
    <w:name w:val="Policy Note"/>
    <w:basedOn w:val="Normal"/>
    <w:pPr>
      <w:spacing w:before="100" w:after="140"/>
      <w:ind w:left="259" w:right="259"/>
    </w:pPr>
    <w:rPr>
      <w:color w:val="5B4626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Relationship Id="rId11" Type="http://schemas.openxmlformats.org/officeDocument/2006/relationships/hyperlink" Target="https://www.nfra.gov.cn/cn/view/pages/governmentDetail.html?docId=916833&amp;itemId=861&amp;generaltype=1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