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关于适用《中华人民共和国民法典》有关担保制度的解释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关于适用《中华人民共和国民法典》有关担保制度的解释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最高人民法院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司法解释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公开页未单独填写/不适用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2020-12-31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https://www.court.gov.cn/zixun/xiangqing/282721.html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公司对外担保：</w:t>
      </w:r>
      <w:r>
        <w:t>公司对外担保效力需结合内部决议、相对人审查等规则判断。</w:t>
      </w:r>
    </w:p>
    <w:p>
      <w:pPr>
        <w:pStyle w:val="ListBullet"/>
      </w:pPr>
      <w:r>
        <w:rPr>
          <w:b/>
        </w:rPr>
        <w:t>保证责任与增信：</w:t>
      </w:r>
      <w:r>
        <w:t>保证方式、责任范围、担保物权设立与登记等影响责任承担。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公司、债权人、保证人</w:t>
      </w:r>
      <w:r>
        <w:rPr>
          <w:b/>
        </w:rPr>
        <w:t xml:space="preserve">  |  用途：</w:t>
      </w:r>
      <w:r>
        <w:t>担保有效性提示</w:t>
      </w:r>
    </w:p>
    <w:p>
      <w:r>
        <w:rPr>
          <w:b/>
        </w:rPr>
        <w:t>适用对象：</w:t>
      </w:r>
      <w:r>
        <w:t>保证、抵押、质押相关主体</w:t>
      </w:r>
      <w:r>
        <w:rPr>
          <w:b/>
        </w:rPr>
        <w:t xml:space="preserve">  |  用途：</w:t>
      </w:r>
      <w:r>
        <w:t>担保材料核验；案例匹配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担保效力高度依赖具体事实，需专业法律意见。</w:t>
      </w:r>
    </w:p>
    <w:p>
      <w:pPr>
        <w:pStyle w:val="ListBullet"/>
      </w:pPr>
      <w:r>
        <w:t>Agent 不作个案法律结论。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urt.gov.cn/zixun/xiangqing/28272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